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6080" w14:textId="51109DF7" w:rsidR="00235DF6" w:rsidRPr="00235DF6" w:rsidRDefault="00235DF6" w:rsidP="00235DF6">
      <w:pPr>
        <w:spacing w:after="0" w:line="240" w:lineRule="auto"/>
        <w:jc w:val="both"/>
        <w:rPr>
          <w:rFonts w:ascii="Arial" w:eastAsia="Times New Roman" w:hAnsi="Arial" w:cs="Arial"/>
          <w:sz w:val="20"/>
          <w:szCs w:val="20"/>
          <w:lang w:eastAsia="pl-PL"/>
        </w:rPr>
      </w:pPr>
      <w:r w:rsidRPr="00235DF6">
        <w:rPr>
          <w:rFonts w:ascii="Arial" w:eastAsia="Times New Roman" w:hAnsi="Arial" w:cs="Arial"/>
          <w:i/>
          <w:iCs/>
          <w:color w:val="000000"/>
          <w:sz w:val="20"/>
          <w:szCs w:val="20"/>
          <w:lang w:eastAsia="pl-PL"/>
        </w:rPr>
        <w:t xml:space="preserve">Działanie dofinansowane w ramach projektu </w:t>
      </w:r>
      <w:r w:rsidRPr="00235DF6">
        <w:rPr>
          <w:rFonts w:ascii="Arial" w:eastAsia="Times New Roman" w:hAnsi="Arial" w:cs="Arial"/>
          <w:color w:val="000000"/>
          <w:sz w:val="20"/>
          <w:szCs w:val="20"/>
          <w:lang w:eastAsia="pl-PL"/>
        </w:rPr>
        <w:t>„</w:t>
      </w:r>
      <w:r w:rsidRPr="00235DF6">
        <w:rPr>
          <w:rFonts w:ascii="Arial" w:eastAsia="Times New Roman" w:hAnsi="Arial" w:cs="Arial"/>
          <w:i/>
          <w:iCs/>
          <w:color w:val="000000"/>
          <w:sz w:val="20"/>
          <w:szCs w:val="20"/>
          <w:lang w:eastAsia="pl-PL"/>
        </w:rPr>
        <w:t xml:space="preserve">Uniwersytet dla wszystkich – Level </w:t>
      </w:r>
      <w:proofErr w:type="spellStart"/>
      <w:r w:rsidRPr="00235DF6">
        <w:rPr>
          <w:rFonts w:ascii="Arial" w:eastAsia="Times New Roman" w:hAnsi="Arial" w:cs="Arial"/>
          <w:i/>
          <w:iCs/>
          <w:color w:val="000000"/>
          <w:sz w:val="20"/>
          <w:szCs w:val="20"/>
          <w:lang w:eastAsia="pl-PL"/>
        </w:rPr>
        <w:t>up</w:t>
      </w:r>
      <w:proofErr w:type="spellEnd"/>
      <w:r w:rsidRPr="00235DF6">
        <w:rPr>
          <w:rFonts w:ascii="Arial" w:eastAsia="Times New Roman" w:hAnsi="Arial" w:cs="Arial"/>
          <w:i/>
          <w:iCs/>
          <w:color w:val="000000"/>
          <w:sz w:val="20"/>
          <w:szCs w:val="20"/>
          <w:lang w:eastAsia="pl-PL"/>
        </w:rPr>
        <w:t>” współfinansowanego ze środków Unii Europejskiej w ramach Europejskiego Funduszu Społecznego z</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Programu Operacyjnego Wiedza Edukacja Rozwój. Projekt realizowany w oparciu o umowę nr</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POWR.03.05.00-IP.08-00-DOS/19-00 między Uniwersytetem Warszawskim a Narodowym Centrum Badań i Rozwoju.</w:t>
      </w:r>
    </w:p>
    <w:p w14:paraId="691DCF16" w14:textId="446C573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56034349" wp14:editId="79CB55D5">
            <wp:extent cx="5734050" cy="719424"/>
            <wp:effectExtent l="0" t="0" r="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4050" cy="719424"/>
                    </a:xfrm>
                    <a:prstGeom prst="rect">
                      <a:avLst/>
                    </a:prstGeom>
                    <a:noFill/>
                    <a:ln>
                      <a:noFill/>
                    </a:ln>
                  </pic:spPr>
                </pic:pic>
              </a:graphicData>
            </a:graphic>
          </wp:inline>
        </w:drawing>
      </w:r>
    </w:p>
    <w:p w14:paraId="379E6EDC" w14:textId="77777777" w:rsidR="00235DF6" w:rsidRPr="00235DF6" w:rsidRDefault="00235DF6" w:rsidP="00235DF6">
      <w:pPr>
        <w:spacing w:after="0" w:line="240" w:lineRule="auto"/>
        <w:rPr>
          <w:rFonts w:ascii="Arial" w:eastAsia="Times New Roman" w:hAnsi="Arial" w:cs="Arial"/>
          <w:sz w:val="24"/>
          <w:szCs w:val="24"/>
          <w:lang w:eastAsia="pl-PL"/>
        </w:rPr>
      </w:pPr>
    </w:p>
    <w:p w14:paraId="540FCF07" w14:textId="497F67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Joanna Zawadka</w:t>
      </w:r>
      <w:r w:rsidRPr="00235DF6">
        <w:rPr>
          <w:rStyle w:val="Odwoanieprzypisudolnego"/>
          <w:rFonts w:ascii="Arial" w:eastAsia="Times New Roman" w:hAnsi="Arial" w:cs="Arial"/>
          <w:color w:val="000000"/>
          <w:sz w:val="24"/>
          <w:szCs w:val="24"/>
          <w:lang w:eastAsia="pl-PL"/>
        </w:rPr>
        <w:footnoteReference w:id="1"/>
      </w:r>
      <w:r w:rsidRPr="00235DF6">
        <w:rPr>
          <w:rFonts w:ascii="Arial" w:eastAsia="Times New Roman" w:hAnsi="Arial" w:cs="Arial"/>
          <w:color w:val="000000"/>
          <w:sz w:val="24"/>
          <w:szCs w:val="24"/>
          <w:lang w:eastAsia="pl-PL"/>
        </w:rPr>
        <w:t>, Joanna Plewko</w:t>
      </w:r>
      <w:r w:rsidRPr="00235DF6">
        <w:rPr>
          <w:rStyle w:val="Odwoanieprzypisudolnego"/>
          <w:rFonts w:ascii="Arial" w:eastAsia="Times New Roman" w:hAnsi="Arial" w:cs="Arial"/>
          <w:color w:val="000000"/>
          <w:sz w:val="24"/>
          <w:szCs w:val="24"/>
          <w:lang w:eastAsia="pl-PL"/>
        </w:rPr>
        <w:footnoteReference w:id="2"/>
      </w:r>
      <w:r w:rsidRPr="00235DF6">
        <w:rPr>
          <w:rFonts w:ascii="Arial" w:eastAsia="Times New Roman" w:hAnsi="Arial" w:cs="Arial"/>
          <w:color w:val="000000"/>
          <w:sz w:val="24"/>
          <w:szCs w:val="24"/>
          <w:lang w:eastAsia="pl-PL"/>
        </w:rPr>
        <w:t>, Iwona Nowakowska</w:t>
      </w:r>
      <w:r w:rsidRPr="00235DF6">
        <w:rPr>
          <w:rStyle w:val="Odwoanieprzypisudolnego"/>
          <w:rFonts w:ascii="Arial" w:eastAsia="Times New Roman" w:hAnsi="Arial" w:cs="Arial"/>
          <w:color w:val="000000"/>
          <w:sz w:val="24"/>
          <w:szCs w:val="24"/>
          <w:lang w:eastAsia="pl-PL"/>
        </w:rPr>
        <w:footnoteReference w:id="3"/>
      </w:r>
      <w:r w:rsidRPr="00235DF6">
        <w:rPr>
          <w:rFonts w:ascii="Arial" w:eastAsia="Times New Roman" w:hAnsi="Arial" w:cs="Arial"/>
          <w:color w:val="000000"/>
          <w:sz w:val="24"/>
          <w:szCs w:val="24"/>
          <w:lang w:eastAsia="pl-PL"/>
        </w:rPr>
        <w:t>, Magdalena Kochańska</w:t>
      </w:r>
      <w:r w:rsidRPr="00235DF6">
        <w:rPr>
          <w:rStyle w:val="Odwoanieprzypisudolnego"/>
          <w:rFonts w:ascii="Arial" w:eastAsia="Times New Roman" w:hAnsi="Arial" w:cs="Arial"/>
          <w:color w:val="000000"/>
          <w:sz w:val="24"/>
          <w:szCs w:val="24"/>
          <w:lang w:eastAsia="pl-PL"/>
        </w:rPr>
        <w:footnoteReference w:id="4"/>
      </w:r>
      <w:r w:rsidRPr="00235DF6">
        <w:rPr>
          <w:rFonts w:ascii="Arial" w:eastAsia="Times New Roman" w:hAnsi="Arial" w:cs="Arial"/>
          <w:color w:val="000000"/>
          <w:sz w:val="24"/>
          <w:szCs w:val="24"/>
          <w:lang w:eastAsia="pl-PL"/>
        </w:rPr>
        <w:t>, Aneta Miękisz</w:t>
      </w:r>
      <w:r w:rsidRPr="00235DF6">
        <w:rPr>
          <w:rStyle w:val="Odwoanieprzypisudolnego"/>
          <w:rFonts w:ascii="Arial" w:eastAsia="Times New Roman" w:hAnsi="Arial" w:cs="Arial"/>
          <w:color w:val="000000"/>
          <w:sz w:val="24"/>
          <w:szCs w:val="24"/>
          <w:lang w:eastAsia="pl-PL"/>
        </w:rPr>
        <w:footnoteReference w:id="5"/>
      </w:r>
      <w:r w:rsidRPr="00235DF6">
        <w:rPr>
          <w:rFonts w:ascii="Arial" w:eastAsia="Times New Roman" w:hAnsi="Arial" w:cs="Arial"/>
          <w:color w:val="000000"/>
          <w:sz w:val="24"/>
          <w:szCs w:val="24"/>
          <w:lang w:eastAsia="pl-PL"/>
        </w:rPr>
        <w:t>, Ewa Haman</w:t>
      </w:r>
      <w:r w:rsidRPr="00235DF6">
        <w:rPr>
          <w:rFonts w:ascii="Arial" w:eastAsia="Times New Roman" w:hAnsi="Arial" w:cs="Arial"/>
          <w:color w:val="000000"/>
          <w:sz w:val="24"/>
          <w:szCs w:val="24"/>
          <w:vertAlign w:val="superscript"/>
          <w:lang w:eastAsia="pl-PL"/>
        </w:rPr>
        <w:t>5</w:t>
      </w:r>
    </w:p>
    <w:p w14:paraId="7D8628F7" w14:textId="77777777" w:rsidR="00235DF6" w:rsidRPr="00235DF6" w:rsidRDefault="00235DF6" w:rsidP="00235DF6">
      <w:pPr>
        <w:spacing w:after="0" w:line="240" w:lineRule="auto"/>
        <w:rPr>
          <w:rFonts w:ascii="Arial" w:eastAsia="Times New Roman" w:hAnsi="Arial" w:cs="Arial"/>
          <w:sz w:val="24"/>
          <w:szCs w:val="24"/>
          <w:lang w:eastAsia="pl-PL"/>
        </w:rPr>
      </w:pPr>
    </w:p>
    <w:p w14:paraId="1EDE7B6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Raport z badania „Problemy studentów Uniwersytetu Warszawskiego ze specyficznymi trudnościami w uczeniu się podczas nauczania zdalnego związanego z epidemią COVID-19”</w:t>
      </w:r>
    </w:p>
    <w:p w14:paraId="582FDE3A" w14:textId="77777777" w:rsidR="00235DF6" w:rsidRPr="00235DF6" w:rsidRDefault="00235DF6" w:rsidP="00235DF6">
      <w:pPr>
        <w:spacing w:after="0" w:line="240" w:lineRule="auto"/>
        <w:rPr>
          <w:rFonts w:ascii="Arial" w:eastAsia="Times New Roman" w:hAnsi="Arial" w:cs="Arial"/>
          <w:sz w:val="24"/>
          <w:szCs w:val="24"/>
          <w:lang w:eastAsia="pl-PL"/>
        </w:rPr>
      </w:pPr>
    </w:p>
    <w:p w14:paraId="3F6D346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Liderką badania naukowego jest dr Joanna Zawadka, specjalistka ds. dysleksji.</w:t>
      </w:r>
    </w:p>
    <w:p w14:paraId="5B81463D" w14:textId="33BE429B"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Celem badania było rozpoznanie, jakie problemy ze zdalną nauką mieli studenc</w:t>
      </w:r>
      <w:r w:rsidR="00AF35FB">
        <w:rPr>
          <w:rFonts w:ascii="Arial" w:eastAsia="Times New Roman" w:hAnsi="Arial" w:cs="Arial"/>
          <w:color w:val="000000"/>
          <w:sz w:val="24"/>
          <w:szCs w:val="24"/>
          <w:lang w:eastAsia="pl-PL"/>
        </w:rPr>
        <w:t>i </w:t>
      </w:r>
      <w:r w:rsidRPr="00235DF6">
        <w:rPr>
          <w:rFonts w:ascii="Arial" w:eastAsia="Times New Roman" w:hAnsi="Arial" w:cs="Arial"/>
          <w:color w:val="000000"/>
          <w:sz w:val="24"/>
          <w:szCs w:val="24"/>
          <w:lang w:eastAsia="pl-PL"/>
        </w:rPr>
        <w:t>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studentki UW ze specyficznymi trudnościami w uczeniu się. </w:t>
      </w:r>
    </w:p>
    <w:p w14:paraId="097069AE" w14:textId="0F36F0FE"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marcu 2020 roku w związku z rosnącym zagrożeniem rozprzestrzeniania się wirusa COVID-19 na wszystkich uniwersytetach w kraju, w tym na Uniwersytecie Warszawskim (UW), nastąpiło przejście ze standardowej formy nauczania (nauczania stacjonarnego) na nauczanie zdalne. Potrzeba utrzymania ciągłości procesu dydaktycznego wymagała od wykładowców i studentów szybkiego wdrożenia rozwiązań informatycznych oraz technicznych, a także zmiany dotychczasowego sposobu prowadzenia zajęć i uczestniczenia w nich. Przyjęte przez kadrę dydaktyczną formy pracy i działań oparte były częściowo na rozwiązaniach systemowych proponowanych przez UW, a częściowo wynikały z wcześniejszych, indywidualnych doświadczeniach związanych ze zdalnym nauczaniem. Z uwagi na wyjątkowe okoliczności wprowadzenie powszechnego w skali kraju e-nauczania odbyło się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uwzględnieniem minimalnego, potrzebnego do przeorganizowania zajęć czasu przez co niemożliwe było uprzednie, systematyczne rozpoznanie potrzeb studentów (w tym studentów ze specyficznymi trudnościami w uczeniu się) dla takiego trybu nauczania. Co więcej, czynnikami wpływającymi istotnie na jakość procesu dydaktycznego stały się także te wszystkie przemiany społeczne i prawne, które dokonywały się w związku z wprowadzaniem kolejnych obostrzeń sanitarnych. </w:t>
      </w:r>
    </w:p>
    <w:p w14:paraId="3892F1AF" w14:textId="1A6295F2"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Przeprowadzone przez Biuro ds. Osób Niepełnosprawnych (BON) UW badanie ankietowe dotyczące problemów związanych z nauczaniem zdalnym było skierowane do wszystkich studentów i studentek Uniwersytetu Warszawskiego. Szczególnymi adresatami ankiety były osoby ze specyficznymi trudnościami w uczeniu się. Badanie </w:t>
      </w:r>
      <w:r w:rsidRPr="00235DF6">
        <w:rPr>
          <w:rFonts w:ascii="Arial" w:eastAsia="Times New Roman" w:hAnsi="Arial" w:cs="Arial"/>
          <w:color w:val="000000"/>
          <w:sz w:val="24"/>
          <w:szCs w:val="24"/>
          <w:lang w:eastAsia="pl-PL"/>
        </w:rPr>
        <w:lastRenderedPageBreak/>
        <w:t>było pierwszym tego typu na UW, głównie dlatego, że w Polsce nauczanie online nie było dotychczas stosowane na tak dużą skalę i nie stanowiło podstawowej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powszechnej formy dydaktyki akademickiej, a co więcej – nauczanie nie odbywało się wcześniej w sytuacji globalnego zagrożenia epidemicznego.</w:t>
      </w:r>
    </w:p>
    <w:p w14:paraId="784E8643" w14:textId="42192E73"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Badanie miało charakter kwestionariuszowy. Wykorzystano w nim ankietę własnego autorstwa (aut. Joanna Zawadka, Joanna Plewko, Iwona Nowakowska, Magdalena Kochańska, Aneta Miękisz, Ewa Haman) oraz </w:t>
      </w:r>
      <w:r w:rsidRPr="00235DF6">
        <w:rPr>
          <w:rFonts w:ascii="Arial" w:eastAsia="Times New Roman" w:hAnsi="Arial" w:cs="Arial"/>
          <w:i/>
          <w:iCs/>
          <w:color w:val="000000"/>
          <w:sz w:val="24"/>
          <w:szCs w:val="24"/>
          <w:lang w:eastAsia="pl-PL"/>
        </w:rPr>
        <w:t>Kwestionariusz Diagnozy Dysleksji</w:t>
      </w:r>
      <w:r w:rsidRPr="00235DF6">
        <w:rPr>
          <w:rFonts w:ascii="Arial" w:eastAsia="Times New Roman" w:hAnsi="Arial" w:cs="Arial"/>
          <w:color w:val="000000"/>
          <w:sz w:val="24"/>
          <w:szCs w:val="24"/>
          <w:lang w:eastAsia="pl-PL"/>
        </w:rPr>
        <w:t xml:space="preserve"> (KDD) autorstwa Katarzyny Bogdanowicz, Marty </w:t>
      </w:r>
      <w:proofErr w:type="spellStart"/>
      <w:r w:rsidRPr="00235DF6">
        <w:rPr>
          <w:rFonts w:ascii="Arial" w:eastAsia="Times New Roman" w:hAnsi="Arial" w:cs="Arial"/>
          <w:color w:val="000000"/>
          <w:sz w:val="24"/>
          <w:szCs w:val="24"/>
          <w:lang w:eastAsia="pl-PL"/>
        </w:rPr>
        <w:t>Łockiewicz</w:t>
      </w:r>
      <w:proofErr w:type="spellEnd"/>
      <w:r w:rsidRPr="00235DF6">
        <w:rPr>
          <w:rFonts w:ascii="Arial" w:eastAsia="Times New Roman" w:hAnsi="Arial" w:cs="Arial"/>
          <w:color w:val="000000"/>
          <w:sz w:val="24"/>
          <w:szCs w:val="24"/>
          <w:lang w:eastAsia="pl-PL"/>
        </w:rPr>
        <w:t xml:space="preserve">, Karola Karasiewicza i Marty Bogdanowicz (dostępny w: </w:t>
      </w:r>
      <w:r w:rsidRPr="00235DF6">
        <w:rPr>
          <w:rFonts w:ascii="Arial" w:eastAsia="Times New Roman" w:hAnsi="Arial" w:cs="Arial"/>
          <w:i/>
          <w:iCs/>
          <w:color w:val="000000"/>
          <w:sz w:val="24"/>
          <w:szCs w:val="24"/>
          <w:lang w:eastAsia="pl-PL"/>
        </w:rPr>
        <w:t>Dysleksja w wieku dorosłym</w:t>
      </w:r>
      <w:r w:rsidRPr="00235DF6">
        <w:rPr>
          <w:rFonts w:ascii="Arial" w:eastAsia="Times New Roman" w:hAnsi="Arial" w:cs="Arial"/>
          <w:color w:val="000000"/>
          <w:sz w:val="24"/>
          <w:szCs w:val="24"/>
          <w:lang w:eastAsia="pl-PL"/>
        </w:rPr>
        <w:t>, red. 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Bogdanowicz, Wydawnictwo Harmonia, Gdańsk 2012). Badanie było skierowane do pełnoletnich studentów i studentek UW wszystkich lat i kierunków. Informacja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ankiecie została zamieszczona na stronie internetowej UW. Respondenci byli także rekrutowani poprzez mailing Biura Prasowego UW (każdy student dostał mailowe zaproszenie do wypełnienia ankiety), Samorządy Studenckie działające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poszczególnych wydziałach oraz grupy studenckie UW na portalu Facebook. Ankieta została przeprowadzona online na platformie </w:t>
      </w:r>
      <w:proofErr w:type="spellStart"/>
      <w:r w:rsidRPr="00235DF6">
        <w:rPr>
          <w:rFonts w:ascii="Arial" w:eastAsia="Times New Roman" w:hAnsi="Arial" w:cs="Arial"/>
          <w:color w:val="000000"/>
          <w:sz w:val="24"/>
          <w:szCs w:val="24"/>
          <w:lang w:eastAsia="pl-PL"/>
        </w:rPr>
        <w:t>Qualtrics</w:t>
      </w:r>
      <w:proofErr w:type="spellEnd"/>
      <w:r w:rsidRPr="00235DF6">
        <w:rPr>
          <w:rFonts w:ascii="Arial" w:eastAsia="Times New Roman" w:hAnsi="Arial" w:cs="Arial"/>
          <w:color w:val="000000"/>
          <w:sz w:val="24"/>
          <w:szCs w:val="24"/>
          <w:lang w:eastAsia="pl-PL"/>
        </w:rPr>
        <w:t xml:space="preserve"> Wydziału Psychologii UW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dniach 16–31.07.2020.</w:t>
      </w:r>
      <w:r w:rsidR="003816BB">
        <w:rPr>
          <w:rFonts w:ascii="Arial" w:eastAsia="Times New Roman" w:hAnsi="Arial" w:cs="Arial"/>
          <w:color w:val="000000"/>
          <w:sz w:val="24"/>
          <w:szCs w:val="24"/>
          <w:lang w:eastAsia="pl-PL"/>
        </w:rPr>
        <w:t xml:space="preserve"> Badanie uzyskało pozytywną opinię Komisji Rektorskiej ds. Etyki Badań Naukowych z Udziałem Człowieka na Uniwersytecie Warszawskim.</w:t>
      </w:r>
    </w:p>
    <w:p w14:paraId="7781A150" w14:textId="77777777"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Badanie służyło uzyskaniu odpowiedzi na następujące pytania badawcze:</w:t>
      </w:r>
    </w:p>
    <w:p w14:paraId="43166656" w14:textId="70E62259"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Jak studenci UW z różnym nasileniem specyficznych trudności w uczeniu się (w tym z dysleksją) radzili sobie z nauczaniem zdalnym w semestrze letnim r.</w:t>
      </w:r>
      <w:r w:rsidR="00AF35FB">
        <w:rPr>
          <w:rFonts w:ascii="Arial" w:eastAsia="Times New Roman" w:hAnsi="Arial" w:cs="Arial"/>
          <w:color w:val="000000"/>
          <w:sz w:val="24"/>
          <w:szCs w:val="24"/>
          <w:lang w:eastAsia="pl-PL"/>
        </w:rPr>
        <w:t> </w:t>
      </w:r>
      <w:proofErr w:type="spellStart"/>
      <w:r w:rsidRPr="00235DF6">
        <w:rPr>
          <w:rFonts w:ascii="Arial" w:eastAsia="Times New Roman" w:hAnsi="Arial" w:cs="Arial"/>
          <w:color w:val="000000"/>
          <w:sz w:val="24"/>
          <w:szCs w:val="24"/>
          <w:lang w:eastAsia="pl-PL"/>
        </w:rPr>
        <w:t>ak</w:t>
      </w:r>
      <w:proofErr w:type="spellEnd"/>
      <w:r w:rsidRPr="00235DF6">
        <w:rPr>
          <w:rFonts w:ascii="Arial" w:eastAsia="Times New Roman" w:hAnsi="Arial" w:cs="Arial"/>
          <w:color w:val="000000"/>
          <w:sz w:val="24"/>
          <w:szCs w:val="24"/>
          <w:lang w:eastAsia="pl-PL"/>
        </w:rPr>
        <w:t>. 2019/2020 w czasie epidemii COVID-19?</w:t>
      </w:r>
    </w:p>
    <w:p w14:paraId="4D60B6DA" w14:textId="77777777"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xml:space="preserve">Jakie problemy z nauką i organizacją studiowania mieli studenci UW (w tym osoby z dysleksją) w związku z nauczaniem zdalnym w czasie epidemii COVID-19 w semestrze letnim r. </w:t>
      </w:r>
      <w:proofErr w:type="spellStart"/>
      <w:r w:rsidRPr="00235DF6">
        <w:rPr>
          <w:rFonts w:ascii="Arial" w:eastAsia="Times New Roman" w:hAnsi="Arial" w:cs="Arial"/>
          <w:color w:val="000000"/>
          <w:sz w:val="24"/>
          <w:szCs w:val="24"/>
          <w:lang w:eastAsia="pl-PL"/>
        </w:rPr>
        <w:t>ak</w:t>
      </w:r>
      <w:proofErr w:type="spellEnd"/>
      <w:r w:rsidRPr="00235DF6">
        <w:rPr>
          <w:rFonts w:ascii="Arial" w:eastAsia="Times New Roman" w:hAnsi="Arial" w:cs="Arial"/>
          <w:color w:val="000000"/>
          <w:sz w:val="24"/>
          <w:szCs w:val="24"/>
          <w:lang w:eastAsia="pl-PL"/>
        </w:rPr>
        <w:t>. 2019/2020?</w:t>
      </w:r>
    </w:p>
    <w:p w14:paraId="12539939" w14:textId="2B070DE3"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Czy możemy zaobserwować różnice między studentami ze specyficznymi trudnościami w uczeniu się a studentami bez takich trudności w odniesieniu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nagłych zmian związanych z formą nauczania?</w:t>
      </w:r>
    </w:p>
    <w:p w14:paraId="2C29D2E2" w14:textId="77777777" w:rsidR="00235DF6" w:rsidRPr="00235DF6" w:rsidRDefault="00235DF6" w:rsidP="00235DF6">
      <w:pPr>
        <w:spacing w:after="0" w:line="240" w:lineRule="auto"/>
        <w:rPr>
          <w:rFonts w:ascii="Arial" w:eastAsia="Times New Roman" w:hAnsi="Arial" w:cs="Arial"/>
          <w:sz w:val="24"/>
          <w:szCs w:val="24"/>
          <w:lang w:eastAsia="pl-PL"/>
        </w:rPr>
      </w:pPr>
    </w:p>
    <w:p w14:paraId="5B8C044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Charakterystyka osób ankietowanych</w:t>
      </w:r>
    </w:p>
    <w:p w14:paraId="258C6837" w14:textId="6EB0F14B"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W ankiecie wzięło udział 3510 osób, z czego 2182 osoby udzieliły odpowiedzi na wszystkie pytania. W grupie osób, które w całości wypełniły ankietę, znalazło się 517 mężczyzn, 1609 kobiet, a 26 osób w kategorii płeć zaznaczyło odpowiedź „inna”, natomiast 30 osób wolało nie udzielać odpowiedzi na to pytanie. Średni wiek osób badanych to ok. 22 lata (min = 18, max = 60). Większość respondentów studiowała tylko na jednym kierunku (min = 1, max = 3). </w:t>
      </w:r>
      <w:r w:rsidRPr="00235DF6">
        <w:rPr>
          <w:rFonts w:ascii="Arial" w:eastAsia="Times New Roman" w:hAnsi="Arial" w:cs="Arial"/>
          <w:color w:val="000000"/>
          <w:sz w:val="24"/>
          <w:szCs w:val="24"/>
          <w:lang w:eastAsia="pl-PL"/>
        </w:rPr>
        <w:b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pytaniu o stan zdrowia w związku z epidemią cztery osoby zadeklarowały, że otrzymały diagnozę COVID-19, 465 osób (ok. 21% respondentów) uważało,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chorowało na COVID-19, jednak nie mają formalnego potwierdzenia diagnozy,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kolei 79 osób (ok. 3,6% respondentów) poinformowało o przebywaniu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obowiązkowej kwarantannie. W pytaniach dotyczących niektórych ważnych zmian, jakie zaszły w życiu ankietowanych w czasie trwania ogólnopolskiej kwarantanny, 358 osób (ok. 16% respondentów) wskazało utratę pracy, a 575 (ok. 23% respondentów) wskazało zmianę miejsce zamieszkania. </w:t>
      </w:r>
    </w:p>
    <w:p w14:paraId="1686D2B6" w14:textId="77777777" w:rsidR="00235DF6" w:rsidRPr="00235DF6" w:rsidRDefault="00235DF6" w:rsidP="00235DF6">
      <w:pPr>
        <w:spacing w:after="0" w:line="240" w:lineRule="auto"/>
        <w:rPr>
          <w:rFonts w:ascii="Arial" w:eastAsia="Times New Roman" w:hAnsi="Arial" w:cs="Arial"/>
          <w:sz w:val="24"/>
          <w:szCs w:val="24"/>
          <w:lang w:eastAsia="pl-PL"/>
        </w:rPr>
      </w:pPr>
    </w:p>
    <w:p w14:paraId="4D4E439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Grupy respondentów</w:t>
      </w:r>
    </w:p>
    <w:p w14:paraId="4E83EFE4" w14:textId="59B96F9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 xml:space="preserve">Na podstawie odpowiedzi na pytanie o diagnozę dysleksji respondenci zostali podzieleni na trzy równoliczne grupy: grupę osób z formalną diagnozą dysleksji (osoby </w:t>
      </w:r>
      <w:r w:rsidRPr="00235DF6">
        <w:rPr>
          <w:rFonts w:ascii="Arial" w:eastAsia="Times New Roman" w:hAnsi="Arial" w:cs="Arial"/>
          <w:color w:val="000000"/>
          <w:sz w:val="24"/>
          <w:szCs w:val="24"/>
          <w:lang w:eastAsia="pl-PL"/>
        </w:rPr>
        <w:lastRenderedPageBreak/>
        <w:t xml:space="preserve">z diagnozą dysleksji, DYS), grupę osób bez formalnej diagnozy, ale oceniające siebie jako mające trudności o charakterze dysleksji (osoby z samodzielną diagnozą dysleksji, SDYS) oraz grupę osób bez formalnej diagnozy dysleksji, które nie stwierdziły, by miały trudności o charakterze dysleksji (osoby typowo czytające, TCZ). Aby zwiększyć rzetelność analiz statystycznych i porównań grupa osób typowo czytających została dobrana w stosunku 1:1 do grupy osób z diagnozą dysleksji pod względem wieku i płci. W celu sprawdzenia i potwierdzenia trudności natury dyslektycznej respondenci odpowiadali na pytania z </w:t>
      </w:r>
      <w:r w:rsidRPr="00235DF6">
        <w:rPr>
          <w:rFonts w:ascii="Arial" w:eastAsia="Times New Roman" w:hAnsi="Arial" w:cs="Arial"/>
          <w:i/>
          <w:iCs/>
          <w:color w:val="000000"/>
          <w:sz w:val="24"/>
          <w:szCs w:val="24"/>
          <w:lang w:eastAsia="pl-PL"/>
        </w:rPr>
        <w:t>Kwestionariusza Diagnozy Dysleksji</w:t>
      </w:r>
      <w:r w:rsidRPr="00235DF6">
        <w:rPr>
          <w:rFonts w:ascii="Arial" w:eastAsia="Times New Roman" w:hAnsi="Arial" w:cs="Arial"/>
          <w:color w:val="000000"/>
          <w:sz w:val="24"/>
          <w:szCs w:val="24"/>
          <w:lang w:eastAsia="pl-PL"/>
        </w:rPr>
        <w:t xml:space="preserve"> (KDD). Im wyższy wynik uzyskany w kwestionariuszu, tym więcej i/lub bardziej nasilone objawy dysleksji. Wszystkie trzy grupy istotnie różniły się średnim wynikiem w KDD </w:t>
      </w:r>
      <w:r w:rsidRPr="00235DF6">
        <w:rPr>
          <w:rFonts w:ascii="Arial" w:eastAsia="Times New Roman" w:hAnsi="Arial" w:cs="Arial"/>
          <w:i/>
          <w:iCs/>
          <w:color w:val="000000"/>
          <w:sz w:val="24"/>
          <w:szCs w:val="24"/>
          <w:lang w:eastAsia="pl-PL"/>
        </w:rPr>
        <w:t>–</w:t>
      </w:r>
      <w:r w:rsidRPr="00235DF6">
        <w:rPr>
          <w:rFonts w:ascii="Arial" w:eastAsia="Times New Roman" w:hAnsi="Arial" w:cs="Arial"/>
          <w:color w:val="000000"/>
          <w:sz w:val="24"/>
          <w:szCs w:val="24"/>
          <w:lang w:eastAsia="pl-PL"/>
        </w:rPr>
        <w:t xml:space="preserve"> najniższy wynik uzyskała grupa osób typowo czytających, wyższy – osoby z samodzielną diagnozą dysleksji, a  najwyższy – osoby z diagnozą dysleksji. W tabeli 1. przedstawiono główne charakterystyki omawianych grup. </w:t>
      </w:r>
    </w:p>
    <w:p w14:paraId="3696D738" w14:textId="77777777" w:rsidR="00235DF6" w:rsidRPr="00235DF6" w:rsidRDefault="00235DF6" w:rsidP="00235DF6">
      <w:pPr>
        <w:spacing w:after="240" w:line="240" w:lineRule="auto"/>
        <w:rPr>
          <w:rFonts w:ascii="Arial" w:eastAsia="Times New Roman" w:hAnsi="Arial" w:cs="Arial"/>
          <w:sz w:val="24"/>
          <w:szCs w:val="24"/>
          <w:lang w:eastAsia="pl-PL"/>
        </w:rPr>
      </w:pPr>
    </w:p>
    <w:tbl>
      <w:tblPr>
        <w:tblW w:w="0" w:type="auto"/>
        <w:jc w:val="center"/>
        <w:tblBorders>
          <w:top w:val="single" w:sz="4" w:space="0" w:color="auto"/>
          <w:left w:val="single" w:sz="8" w:space="0" w:color="FFFFFF"/>
          <w:bottom w:val="single" w:sz="4" w:space="0" w:color="auto"/>
          <w:right w:val="single" w:sz="8" w:space="0" w:color="FFFFFF"/>
          <w:insideH w:val="single" w:sz="8" w:space="0" w:color="FFFFFF"/>
          <w:insideV w:val="single" w:sz="8" w:space="0" w:color="FFFFFF"/>
        </w:tblBorders>
        <w:tblCellMar>
          <w:top w:w="15" w:type="dxa"/>
          <w:left w:w="15" w:type="dxa"/>
          <w:bottom w:w="15" w:type="dxa"/>
          <w:right w:w="15" w:type="dxa"/>
        </w:tblCellMar>
        <w:tblLook w:val="04A0" w:firstRow="1" w:lastRow="0" w:firstColumn="1" w:lastColumn="0" w:noHBand="0" w:noVBand="1"/>
      </w:tblPr>
      <w:tblGrid>
        <w:gridCol w:w="4641"/>
        <w:gridCol w:w="1569"/>
        <w:gridCol w:w="1403"/>
        <w:gridCol w:w="1439"/>
      </w:tblGrid>
      <w:tr w:rsidR="00235DF6" w:rsidRPr="00235DF6" w14:paraId="7C37A0F2" w14:textId="77777777" w:rsidTr="00235DF6">
        <w:trPr>
          <w:trHeight w:val="510"/>
          <w:jc w:val="center"/>
        </w:trPr>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53CB4D91" w14:textId="77777777" w:rsidR="00235DF6" w:rsidRPr="00235DF6" w:rsidRDefault="00235DF6" w:rsidP="00235DF6">
            <w:pPr>
              <w:spacing w:after="0" w:line="240" w:lineRule="auto"/>
              <w:rPr>
                <w:rFonts w:ascii="Arial" w:eastAsia="Times New Roman" w:hAnsi="Arial" w:cs="Arial"/>
                <w:sz w:val="24"/>
                <w:szCs w:val="24"/>
                <w:lang w:eastAsia="pl-PL"/>
              </w:rPr>
            </w:pP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396BA5CB"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DYS (N = 216)</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1C428B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SDYS (N = 201)</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0D5B221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TCZ (N = 216)</w:t>
            </w:r>
          </w:p>
        </w:tc>
      </w:tr>
      <w:tr w:rsidR="00235DF6" w:rsidRPr="00235DF6" w14:paraId="0539A7BD" w14:textId="77777777" w:rsidTr="00235DF6">
        <w:trPr>
          <w:jc w:val="center"/>
        </w:trPr>
        <w:tc>
          <w:tcPr>
            <w:tcW w:w="0" w:type="auto"/>
            <w:tcBorders>
              <w:top w:val="single" w:sz="4" w:space="0" w:color="auto"/>
            </w:tcBorders>
            <w:tcMar>
              <w:top w:w="100" w:type="dxa"/>
              <w:left w:w="100" w:type="dxa"/>
              <w:bottom w:w="100" w:type="dxa"/>
              <w:right w:w="100" w:type="dxa"/>
            </w:tcMar>
            <w:vAlign w:val="center"/>
            <w:hideMark/>
          </w:tcPr>
          <w:p w14:paraId="7D2666E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Wiek respondentów</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4545FFC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22,27(SD = 3,24)</w:t>
            </w:r>
          </w:p>
        </w:tc>
        <w:tc>
          <w:tcPr>
            <w:tcW w:w="0" w:type="auto"/>
            <w:tcBorders>
              <w:top w:val="single" w:sz="4" w:space="0" w:color="auto"/>
            </w:tcBorders>
            <w:tcMar>
              <w:top w:w="100" w:type="dxa"/>
              <w:left w:w="100" w:type="dxa"/>
              <w:bottom w:w="100" w:type="dxa"/>
              <w:right w:w="100" w:type="dxa"/>
            </w:tcMar>
            <w:vAlign w:val="center"/>
            <w:hideMark/>
          </w:tcPr>
          <w:p w14:paraId="29729C7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22,53 (SD = 4,31)</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2CE91790"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22,23 (SD = 3,20)</w:t>
            </w:r>
          </w:p>
        </w:tc>
      </w:tr>
      <w:tr w:rsidR="00235DF6" w:rsidRPr="00235DF6" w14:paraId="2F00DA5F" w14:textId="77777777" w:rsidTr="00235DF6">
        <w:trPr>
          <w:trHeight w:val="765"/>
          <w:jc w:val="center"/>
        </w:trPr>
        <w:tc>
          <w:tcPr>
            <w:tcW w:w="0" w:type="auto"/>
            <w:tcMar>
              <w:top w:w="100" w:type="dxa"/>
              <w:left w:w="100" w:type="dxa"/>
              <w:bottom w:w="100" w:type="dxa"/>
              <w:right w:w="100" w:type="dxa"/>
            </w:tcMar>
            <w:vAlign w:val="center"/>
            <w:hideMark/>
          </w:tcPr>
          <w:p w14:paraId="0FE4A886"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studiowanych kierunków</w:t>
            </w:r>
          </w:p>
        </w:tc>
        <w:tc>
          <w:tcPr>
            <w:tcW w:w="0" w:type="auto"/>
            <w:shd w:val="clear" w:color="auto" w:fill="FFFFFF"/>
            <w:tcMar>
              <w:top w:w="100" w:type="dxa"/>
              <w:left w:w="100" w:type="dxa"/>
              <w:bottom w:w="100" w:type="dxa"/>
              <w:right w:w="100" w:type="dxa"/>
            </w:tcMar>
            <w:vAlign w:val="center"/>
            <w:hideMark/>
          </w:tcPr>
          <w:p w14:paraId="5221CC42"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w:t>
            </w:r>
          </w:p>
          <w:p w14:paraId="75A5E6ED"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(10,5%), </w:t>
            </w:r>
          </w:p>
          <w:p w14:paraId="789901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 </w:t>
            </w:r>
          </w:p>
        </w:tc>
        <w:tc>
          <w:tcPr>
            <w:tcW w:w="0" w:type="auto"/>
            <w:tcMar>
              <w:top w:w="100" w:type="dxa"/>
              <w:left w:w="100" w:type="dxa"/>
              <w:bottom w:w="100" w:type="dxa"/>
              <w:right w:w="100" w:type="dxa"/>
            </w:tcMar>
            <w:vAlign w:val="center"/>
            <w:hideMark/>
          </w:tcPr>
          <w:p w14:paraId="20ED41E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1(90%),</w:t>
            </w:r>
          </w:p>
          <w:p w14:paraId="4906781D"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w:t>
            </w:r>
          </w:p>
        </w:tc>
        <w:tc>
          <w:tcPr>
            <w:tcW w:w="0" w:type="auto"/>
            <w:tcMar>
              <w:top w:w="100" w:type="dxa"/>
              <w:left w:w="100" w:type="dxa"/>
              <w:bottom w:w="100" w:type="dxa"/>
              <w:right w:w="100" w:type="dxa"/>
            </w:tcMar>
            <w:vAlign w:val="center"/>
            <w:hideMark/>
          </w:tcPr>
          <w:p w14:paraId="183ABCA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 </w:t>
            </w:r>
          </w:p>
          <w:p w14:paraId="20648E37"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(10 %), </w:t>
            </w:r>
          </w:p>
          <w:p w14:paraId="4CB0A042"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w:t>
            </w:r>
          </w:p>
        </w:tc>
      </w:tr>
      <w:tr w:rsidR="00235DF6" w:rsidRPr="00235DF6" w14:paraId="56BCC5DF" w14:textId="77777777" w:rsidTr="00235DF6">
        <w:trPr>
          <w:jc w:val="center"/>
        </w:trPr>
        <w:tc>
          <w:tcPr>
            <w:tcW w:w="0" w:type="auto"/>
            <w:tcMar>
              <w:top w:w="100" w:type="dxa"/>
              <w:left w:w="100" w:type="dxa"/>
              <w:bottom w:w="100" w:type="dxa"/>
              <w:right w:w="100" w:type="dxa"/>
            </w:tcMar>
            <w:vAlign w:val="center"/>
            <w:hideMark/>
          </w:tcPr>
          <w:p w14:paraId="4EC6328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utracili pracę w czasie trwania epidemii COVID-19 </w:t>
            </w:r>
          </w:p>
        </w:tc>
        <w:tc>
          <w:tcPr>
            <w:tcW w:w="0" w:type="auto"/>
            <w:shd w:val="clear" w:color="auto" w:fill="FFFFFF"/>
            <w:tcMar>
              <w:top w:w="100" w:type="dxa"/>
              <w:left w:w="100" w:type="dxa"/>
              <w:bottom w:w="100" w:type="dxa"/>
              <w:right w:w="100" w:type="dxa"/>
            </w:tcMar>
            <w:vAlign w:val="center"/>
            <w:hideMark/>
          </w:tcPr>
          <w:p w14:paraId="248DFC01"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33 (15%)</w:t>
            </w:r>
          </w:p>
        </w:tc>
        <w:tc>
          <w:tcPr>
            <w:tcW w:w="0" w:type="auto"/>
            <w:tcMar>
              <w:top w:w="100" w:type="dxa"/>
              <w:left w:w="100" w:type="dxa"/>
              <w:bottom w:w="100" w:type="dxa"/>
              <w:right w:w="100" w:type="dxa"/>
            </w:tcMar>
            <w:vAlign w:val="center"/>
            <w:hideMark/>
          </w:tcPr>
          <w:p w14:paraId="76096F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 (19.4%) </w:t>
            </w:r>
          </w:p>
        </w:tc>
        <w:tc>
          <w:tcPr>
            <w:tcW w:w="0" w:type="auto"/>
            <w:tcMar>
              <w:top w:w="100" w:type="dxa"/>
              <w:left w:w="100" w:type="dxa"/>
              <w:bottom w:w="100" w:type="dxa"/>
              <w:right w:w="100" w:type="dxa"/>
            </w:tcMar>
            <w:vAlign w:val="center"/>
            <w:hideMark/>
          </w:tcPr>
          <w:p w14:paraId="6301CA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28 (13%)</w:t>
            </w:r>
          </w:p>
        </w:tc>
      </w:tr>
      <w:tr w:rsidR="00235DF6" w:rsidRPr="00235DF6" w14:paraId="4ECFED2F" w14:textId="77777777" w:rsidTr="00235DF6">
        <w:trPr>
          <w:jc w:val="center"/>
        </w:trPr>
        <w:tc>
          <w:tcPr>
            <w:tcW w:w="0" w:type="auto"/>
            <w:tcMar>
              <w:top w:w="100" w:type="dxa"/>
              <w:left w:w="100" w:type="dxa"/>
              <w:bottom w:w="100" w:type="dxa"/>
              <w:right w:w="100" w:type="dxa"/>
            </w:tcMar>
            <w:vAlign w:val="center"/>
            <w:hideMark/>
          </w:tcPr>
          <w:p w14:paraId="22FFDA6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zmienili miejsce zamieszkania w czasie trwania epidemii COVID-19</w:t>
            </w:r>
          </w:p>
        </w:tc>
        <w:tc>
          <w:tcPr>
            <w:tcW w:w="0" w:type="auto"/>
            <w:shd w:val="clear" w:color="auto" w:fill="FFFFFF"/>
            <w:tcMar>
              <w:top w:w="100" w:type="dxa"/>
              <w:left w:w="100" w:type="dxa"/>
              <w:bottom w:w="100" w:type="dxa"/>
              <w:right w:w="100" w:type="dxa"/>
            </w:tcMar>
            <w:vAlign w:val="center"/>
            <w:hideMark/>
          </w:tcPr>
          <w:p w14:paraId="4C6B35F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43 (20%)</w:t>
            </w:r>
          </w:p>
        </w:tc>
        <w:tc>
          <w:tcPr>
            <w:tcW w:w="0" w:type="auto"/>
            <w:shd w:val="clear" w:color="auto" w:fill="FFFFFF"/>
            <w:tcMar>
              <w:top w:w="100" w:type="dxa"/>
              <w:left w:w="100" w:type="dxa"/>
              <w:bottom w:w="100" w:type="dxa"/>
              <w:right w:w="100" w:type="dxa"/>
            </w:tcMar>
            <w:vAlign w:val="center"/>
            <w:hideMark/>
          </w:tcPr>
          <w:p w14:paraId="4802A25E"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 (26%)</w:t>
            </w:r>
          </w:p>
        </w:tc>
        <w:tc>
          <w:tcPr>
            <w:tcW w:w="0" w:type="auto"/>
            <w:shd w:val="clear" w:color="auto" w:fill="FFFFFF"/>
            <w:tcMar>
              <w:top w:w="100" w:type="dxa"/>
              <w:left w:w="100" w:type="dxa"/>
              <w:bottom w:w="100" w:type="dxa"/>
              <w:right w:w="100" w:type="dxa"/>
            </w:tcMar>
            <w:vAlign w:val="center"/>
            <w:hideMark/>
          </w:tcPr>
          <w:p w14:paraId="281BD53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54 (25%)</w:t>
            </w:r>
          </w:p>
        </w:tc>
      </w:tr>
      <w:tr w:rsidR="00235DF6" w:rsidRPr="00235DF6" w14:paraId="5540E91F" w14:textId="77777777" w:rsidTr="00235DF6">
        <w:trPr>
          <w:jc w:val="center"/>
        </w:trPr>
        <w:tc>
          <w:tcPr>
            <w:tcW w:w="0" w:type="auto"/>
            <w:tcMar>
              <w:top w:w="100" w:type="dxa"/>
              <w:left w:w="100" w:type="dxa"/>
              <w:bottom w:w="100" w:type="dxa"/>
              <w:right w:w="100" w:type="dxa"/>
            </w:tcMar>
            <w:vAlign w:val="center"/>
            <w:hideMark/>
          </w:tcPr>
          <w:p w14:paraId="19CAF91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rozpoznali u siebie objawy COVID-19 </w:t>
            </w:r>
          </w:p>
        </w:tc>
        <w:tc>
          <w:tcPr>
            <w:tcW w:w="0" w:type="auto"/>
            <w:shd w:val="clear" w:color="auto" w:fill="FFFFFF"/>
            <w:tcMar>
              <w:top w:w="100" w:type="dxa"/>
              <w:left w:w="100" w:type="dxa"/>
              <w:bottom w:w="100" w:type="dxa"/>
              <w:right w:w="100" w:type="dxa"/>
            </w:tcMar>
            <w:vAlign w:val="center"/>
            <w:hideMark/>
          </w:tcPr>
          <w:p w14:paraId="1AC3D3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49 (23 %)</w:t>
            </w:r>
          </w:p>
        </w:tc>
        <w:tc>
          <w:tcPr>
            <w:tcW w:w="0" w:type="auto"/>
            <w:shd w:val="clear" w:color="auto" w:fill="FFFFFF"/>
            <w:tcMar>
              <w:top w:w="100" w:type="dxa"/>
              <w:left w:w="100" w:type="dxa"/>
              <w:bottom w:w="100" w:type="dxa"/>
              <w:right w:w="100" w:type="dxa"/>
            </w:tcMar>
            <w:vAlign w:val="center"/>
            <w:hideMark/>
          </w:tcPr>
          <w:p w14:paraId="65A7329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59 (29%)</w:t>
            </w:r>
          </w:p>
        </w:tc>
        <w:tc>
          <w:tcPr>
            <w:tcW w:w="0" w:type="auto"/>
            <w:tcMar>
              <w:top w:w="100" w:type="dxa"/>
              <w:left w:w="100" w:type="dxa"/>
              <w:bottom w:w="100" w:type="dxa"/>
              <w:right w:w="100" w:type="dxa"/>
            </w:tcMar>
            <w:vAlign w:val="center"/>
            <w:hideMark/>
          </w:tcPr>
          <w:p w14:paraId="5A4CF431"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39(18%)</w:t>
            </w:r>
          </w:p>
        </w:tc>
      </w:tr>
      <w:tr w:rsidR="00235DF6" w:rsidRPr="00235DF6" w14:paraId="489A2182" w14:textId="77777777" w:rsidTr="00235DF6">
        <w:trPr>
          <w:jc w:val="center"/>
        </w:trPr>
        <w:tc>
          <w:tcPr>
            <w:tcW w:w="0" w:type="auto"/>
            <w:tcMar>
              <w:top w:w="100" w:type="dxa"/>
              <w:left w:w="100" w:type="dxa"/>
              <w:bottom w:w="100" w:type="dxa"/>
              <w:right w:w="100" w:type="dxa"/>
            </w:tcMar>
            <w:vAlign w:val="center"/>
            <w:hideMark/>
          </w:tcPr>
          <w:p w14:paraId="363C24A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byli na obowiązkowej kwarantannie wyznaczonej przez sanepid w związku z COVID-19</w:t>
            </w:r>
          </w:p>
        </w:tc>
        <w:tc>
          <w:tcPr>
            <w:tcW w:w="0" w:type="auto"/>
            <w:shd w:val="clear" w:color="auto" w:fill="FFFFFF"/>
            <w:tcMar>
              <w:top w:w="100" w:type="dxa"/>
              <w:left w:w="100" w:type="dxa"/>
              <w:bottom w:w="100" w:type="dxa"/>
              <w:right w:w="100" w:type="dxa"/>
            </w:tcMar>
            <w:vAlign w:val="center"/>
            <w:hideMark/>
          </w:tcPr>
          <w:p w14:paraId="3C55EA3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10 (5%)</w:t>
            </w:r>
          </w:p>
        </w:tc>
        <w:tc>
          <w:tcPr>
            <w:tcW w:w="0" w:type="auto"/>
            <w:shd w:val="clear" w:color="auto" w:fill="FFFFFF"/>
            <w:tcMar>
              <w:top w:w="100" w:type="dxa"/>
              <w:left w:w="100" w:type="dxa"/>
              <w:bottom w:w="100" w:type="dxa"/>
              <w:right w:w="100" w:type="dxa"/>
            </w:tcMar>
            <w:vAlign w:val="center"/>
            <w:hideMark/>
          </w:tcPr>
          <w:p w14:paraId="4706FC8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12 (6%)</w:t>
            </w:r>
          </w:p>
        </w:tc>
        <w:tc>
          <w:tcPr>
            <w:tcW w:w="0" w:type="auto"/>
            <w:tcMar>
              <w:top w:w="100" w:type="dxa"/>
              <w:left w:w="100" w:type="dxa"/>
              <w:bottom w:w="100" w:type="dxa"/>
              <w:right w:w="100" w:type="dxa"/>
            </w:tcMar>
            <w:vAlign w:val="center"/>
            <w:hideMark/>
          </w:tcPr>
          <w:p w14:paraId="72127186"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 (2%)</w:t>
            </w:r>
          </w:p>
        </w:tc>
      </w:tr>
      <w:tr w:rsidR="00235DF6" w:rsidRPr="00235DF6" w14:paraId="51CDAB70" w14:textId="77777777" w:rsidTr="00235DF6">
        <w:trPr>
          <w:jc w:val="center"/>
        </w:trPr>
        <w:tc>
          <w:tcPr>
            <w:tcW w:w="0" w:type="auto"/>
            <w:tcMar>
              <w:top w:w="100" w:type="dxa"/>
              <w:left w:w="100" w:type="dxa"/>
              <w:bottom w:w="100" w:type="dxa"/>
              <w:right w:w="100" w:type="dxa"/>
            </w:tcMar>
            <w:vAlign w:val="center"/>
            <w:hideMark/>
          </w:tcPr>
          <w:p w14:paraId="5C044D9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Wynik ogólny KDD</w:t>
            </w:r>
          </w:p>
        </w:tc>
        <w:tc>
          <w:tcPr>
            <w:tcW w:w="0" w:type="auto"/>
            <w:tcMar>
              <w:top w:w="100" w:type="dxa"/>
              <w:left w:w="100" w:type="dxa"/>
              <w:bottom w:w="100" w:type="dxa"/>
              <w:right w:w="100" w:type="dxa"/>
            </w:tcMar>
            <w:vAlign w:val="center"/>
            <w:hideMark/>
          </w:tcPr>
          <w:p w14:paraId="2C20AF9C"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71,09 (SD = 4,95)</w:t>
            </w:r>
          </w:p>
        </w:tc>
        <w:tc>
          <w:tcPr>
            <w:tcW w:w="0" w:type="auto"/>
            <w:tcMar>
              <w:top w:w="100" w:type="dxa"/>
              <w:left w:w="100" w:type="dxa"/>
              <w:bottom w:w="100" w:type="dxa"/>
              <w:right w:w="100" w:type="dxa"/>
            </w:tcMar>
            <w:vAlign w:val="center"/>
            <w:hideMark/>
          </w:tcPr>
          <w:p w14:paraId="7CFDB7C7"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68,46 (SD =13,1)</w:t>
            </w:r>
          </w:p>
        </w:tc>
        <w:tc>
          <w:tcPr>
            <w:tcW w:w="0" w:type="auto"/>
            <w:tcMar>
              <w:top w:w="100" w:type="dxa"/>
              <w:left w:w="100" w:type="dxa"/>
              <w:bottom w:w="100" w:type="dxa"/>
              <w:right w:w="100" w:type="dxa"/>
            </w:tcMar>
            <w:vAlign w:val="center"/>
            <w:hideMark/>
          </w:tcPr>
          <w:p w14:paraId="2C8051C5"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52,24 (SD = 11,28)</w:t>
            </w:r>
          </w:p>
        </w:tc>
      </w:tr>
    </w:tbl>
    <w:p w14:paraId="5A36BC5B" w14:textId="77777777"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Tabela 1. </w:t>
      </w:r>
      <w:r w:rsidRPr="00235DF6">
        <w:rPr>
          <w:rFonts w:ascii="Arial" w:eastAsia="Times New Roman" w:hAnsi="Arial" w:cs="Arial"/>
          <w:color w:val="000000"/>
          <w:sz w:val="24"/>
          <w:szCs w:val="24"/>
          <w:lang w:eastAsia="pl-PL"/>
        </w:rPr>
        <w:t>Główne charakterystyki grup respondentów. </w:t>
      </w:r>
    </w:p>
    <w:p w14:paraId="00E4D2A4" w14:textId="77777777" w:rsidR="00235DF6" w:rsidRPr="00235DF6" w:rsidRDefault="00235DF6" w:rsidP="00235DF6">
      <w:pPr>
        <w:spacing w:after="0" w:line="240" w:lineRule="auto"/>
        <w:jc w:val="both"/>
        <w:rPr>
          <w:rFonts w:ascii="Arial" w:eastAsia="Times New Roman" w:hAnsi="Arial" w:cs="Arial"/>
          <w:sz w:val="20"/>
          <w:szCs w:val="20"/>
          <w:lang w:eastAsia="pl-PL"/>
        </w:rPr>
      </w:pPr>
      <w:r w:rsidRPr="00235DF6">
        <w:rPr>
          <w:rFonts w:ascii="Arial" w:eastAsia="Times New Roman" w:hAnsi="Arial" w:cs="Arial"/>
          <w:i/>
          <w:iCs/>
          <w:color w:val="000000"/>
          <w:sz w:val="20"/>
          <w:szCs w:val="20"/>
          <w:lang w:eastAsia="pl-PL"/>
        </w:rPr>
        <w:t xml:space="preserve">Nota. </w:t>
      </w:r>
      <w:r w:rsidRPr="00235DF6">
        <w:rPr>
          <w:rFonts w:ascii="Arial" w:eastAsia="Times New Roman" w:hAnsi="Arial" w:cs="Arial"/>
          <w:color w:val="000000"/>
          <w:sz w:val="20"/>
          <w:szCs w:val="20"/>
          <w:lang w:eastAsia="pl-PL"/>
        </w:rPr>
        <w:t>KDD – Kwestionariusz Diagnozy Dysleksji, SD – odchylenie standardowe, N – liczebność.</w:t>
      </w:r>
    </w:p>
    <w:p w14:paraId="6571A06A" w14:textId="77777777" w:rsidR="00235DF6" w:rsidRPr="00235DF6" w:rsidRDefault="00235DF6" w:rsidP="00235DF6">
      <w:pPr>
        <w:spacing w:after="0" w:line="240" w:lineRule="auto"/>
        <w:rPr>
          <w:rFonts w:ascii="Arial" w:eastAsia="Times New Roman" w:hAnsi="Arial" w:cs="Arial"/>
          <w:sz w:val="24"/>
          <w:szCs w:val="24"/>
          <w:lang w:eastAsia="pl-PL"/>
        </w:rPr>
      </w:pPr>
    </w:p>
    <w:p w14:paraId="5323DD3F" w14:textId="57ADCA1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6392062" wp14:editId="1E08EE61">
            <wp:extent cx="5734050" cy="34385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438525"/>
                    </a:xfrm>
                    <a:prstGeom prst="rect">
                      <a:avLst/>
                    </a:prstGeom>
                    <a:noFill/>
                    <a:ln>
                      <a:noFill/>
                    </a:ln>
                  </pic:spPr>
                </pic:pic>
              </a:graphicData>
            </a:graphic>
          </wp:inline>
        </w:drawing>
      </w:r>
    </w:p>
    <w:p w14:paraId="21EB9DEB" w14:textId="61DDBD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1. </w:t>
      </w:r>
      <w:r w:rsidRPr="00235DF6">
        <w:rPr>
          <w:rFonts w:ascii="Arial" w:eastAsia="Times New Roman" w:hAnsi="Arial" w:cs="Arial"/>
          <w:color w:val="000000"/>
          <w:sz w:val="24"/>
          <w:szCs w:val="24"/>
          <w:lang w:eastAsia="pl-PL"/>
        </w:rPr>
        <w:t>Rozkład wyników uzyskanych przez grupy respondentów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kwestionariuszu KDD. Linią poziomą zaznaczono średnie wyników. </w:t>
      </w:r>
    </w:p>
    <w:p w14:paraId="671606A7" w14:textId="77777777" w:rsidR="00235DF6" w:rsidRPr="00235DF6" w:rsidRDefault="00235DF6" w:rsidP="00235DF6">
      <w:pPr>
        <w:spacing w:after="0" w:line="240" w:lineRule="auto"/>
        <w:rPr>
          <w:rFonts w:ascii="Arial" w:eastAsia="Times New Roman" w:hAnsi="Arial" w:cs="Arial"/>
          <w:sz w:val="24"/>
          <w:szCs w:val="24"/>
          <w:lang w:eastAsia="pl-PL"/>
        </w:rPr>
      </w:pPr>
    </w:p>
    <w:p w14:paraId="530A1D0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Diagnozy zaburzeń współwystępujących w grupach respondentów</w:t>
      </w:r>
    </w:p>
    <w:p w14:paraId="460909CF"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które zadeklarowały, że mają formalną diagnozę dysleksji, znalazło się:</w:t>
      </w:r>
    </w:p>
    <w:p w14:paraId="63CA29BB"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156 osób bez diagnoz zaburzeń współwystępujących (72,2% grupy);</w:t>
      </w:r>
    </w:p>
    <w:p w14:paraId="5DAFDB79"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60 osób z diagnozami zaburzeń współwystępujących (27,8% grupy). Wśród tych zaburzeń znalazły się:</w:t>
      </w:r>
    </w:p>
    <w:p w14:paraId="3E83AA6B" w14:textId="7C9E2F16"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w:t>
      </w:r>
      <w:proofErr w:type="spellStart"/>
      <w:r w:rsidRPr="00235DF6">
        <w:rPr>
          <w:rFonts w:ascii="Arial" w:eastAsia="Times New Roman" w:hAnsi="Arial" w:cs="Arial"/>
          <w:i/>
          <w:iCs/>
          <w:color w:val="000000"/>
          <w:sz w:val="24"/>
          <w:szCs w:val="24"/>
          <w:lang w:eastAsia="pl-PL"/>
        </w:rPr>
        <w:t>Attention</w:t>
      </w:r>
      <w:proofErr w:type="spellEnd"/>
      <w:r w:rsidRPr="00235DF6">
        <w:rPr>
          <w:rFonts w:ascii="Arial" w:eastAsia="Times New Roman" w:hAnsi="Arial" w:cs="Arial"/>
          <w:i/>
          <w:iCs/>
          <w:color w:val="000000"/>
          <w:sz w:val="24"/>
          <w:szCs w:val="24"/>
          <w:lang w:eastAsia="pl-PL"/>
        </w:rPr>
        <w:t xml:space="preserve"> </w:t>
      </w:r>
      <w:proofErr w:type="spellStart"/>
      <w:r w:rsidRPr="00235DF6">
        <w:rPr>
          <w:rFonts w:ascii="Arial" w:eastAsia="Times New Roman" w:hAnsi="Arial" w:cs="Arial"/>
          <w:i/>
          <w:iCs/>
          <w:color w:val="000000"/>
          <w:sz w:val="24"/>
          <w:szCs w:val="24"/>
          <w:lang w:eastAsia="pl-PL"/>
        </w:rPr>
        <w:t>Deficit</w:t>
      </w:r>
      <w:proofErr w:type="spellEnd"/>
      <w:r w:rsidRPr="00235DF6">
        <w:rPr>
          <w:rFonts w:ascii="Arial" w:eastAsia="Times New Roman" w:hAnsi="Arial" w:cs="Arial"/>
          <w:i/>
          <w:iCs/>
          <w:color w:val="000000"/>
          <w:sz w:val="24"/>
          <w:szCs w:val="24"/>
          <w:lang w:eastAsia="pl-PL"/>
        </w:rPr>
        <w:t xml:space="preserve"> </w:t>
      </w:r>
      <w:proofErr w:type="spellStart"/>
      <w:r w:rsidRPr="00235DF6">
        <w:rPr>
          <w:rFonts w:ascii="Arial" w:eastAsia="Times New Roman" w:hAnsi="Arial" w:cs="Arial"/>
          <w:i/>
          <w:iCs/>
          <w:color w:val="000000"/>
          <w:sz w:val="24"/>
          <w:szCs w:val="24"/>
          <w:lang w:eastAsia="pl-PL"/>
        </w:rPr>
        <w:t>Disorder</w:t>
      </w:r>
      <w:proofErr w:type="spellEnd"/>
      <w:r w:rsidRPr="00235DF6">
        <w:rPr>
          <w:rFonts w:ascii="Arial" w:eastAsia="Times New Roman" w:hAnsi="Arial" w:cs="Arial"/>
          <w:color w:val="000000"/>
          <w:sz w:val="24"/>
          <w:szCs w:val="24"/>
          <w:lang w:eastAsia="pl-PL"/>
        </w:rPr>
        <w:t>) i problemy z koncentracją uwagi – 4</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osoby (1,9% grupy);</w:t>
      </w:r>
    </w:p>
    <w:p w14:paraId="5C2D8F34"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val="en-US" w:eastAsia="pl-PL"/>
        </w:rPr>
      </w:pPr>
      <w:r w:rsidRPr="00235DF6">
        <w:rPr>
          <w:rFonts w:ascii="Arial" w:eastAsia="Times New Roman" w:hAnsi="Arial" w:cs="Arial"/>
          <w:color w:val="000000"/>
          <w:sz w:val="24"/>
          <w:szCs w:val="24"/>
          <w:lang w:val="en-US" w:eastAsia="pl-PL"/>
        </w:rPr>
        <w:t>ADHD (</w:t>
      </w:r>
      <w:r w:rsidRPr="00235DF6">
        <w:rPr>
          <w:rFonts w:ascii="Arial" w:eastAsia="Times New Roman" w:hAnsi="Arial" w:cs="Arial"/>
          <w:i/>
          <w:iCs/>
          <w:color w:val="000000"/>
          <w:sz w:val="24"/>
          <w:szCs w:val="24"/>
          <w:lang w:val="en-US" w:eastAsia="pl-PL"/>
        </w:rPr>
        <w:t>Attention Deficit and Hyperactivity Disorder</w:t>
      </w:r>
      <w:r w:rsidRPr="00235DF6">
        <w:rPr>
          <w:rFonts w:ascii="Arial" w:eastAsia="Times New Roman" w:hAnsi="Arial" w:cs="Arial"/>
          <w:color w:val="000000"/>
          <w:sz w:val="24"/>
          <w:szCs w:val="24"/>
          <w:lang w:val="en-US" w:eastAsia="pl-PL"/>
        </w:rPr>
        <w:t xml:space="preserve">) – 3 </w:t>
      </w:r>
      <w:proofErr w:type="spellStart"/>
      <w:r w:rsidRPr="00235DF6">
        <w:rPr>
          <w:rFonts w:ascii="Arial" w:eastAsia="Times New Roman" w:hAnsi="Arial" w:cs="Arial"/>
          <w:color w:val="000000"/>
          <w:sz w:val="24"/>
          <w:szCs w:val="24"/>
          <w:lang w:val="en-US" w:eastAsia="pl-PL"/>
        </w:rPr>
        <w:t>osoby</w:t>
      </w:r>
      <w:proofErr w:type="spellEnd"/>
      <w:r w:rsidRPr="00235DF6">
        <w:rPr>
          <w:rFonts w:ascii="Arial" w:eastAsia="Times New Roman" w:hAnsi="Arial" w:cs="Arial"/>
          <w:color w:val="000000"/>
          <w:sz w:val="24"/>
          <w:szCs w:val="24"/>
          <w:lang w:val="en-US" w:eastAsia="pl-PL"/>
        </w:rPr>
        <w:t xml:space="preserve"> (1,5% </w:t>
      </w:r>
      <w:proofErr w:type="spellStart"/>
      <w:r w:rsidRPr="00235DF6">
        <w:rPr>
          <w:rFonts w:ascii="Arial" w:eastAsia="Times New Roman" w:hAnsi="Arial" w:cs="Arial"/>
          <w:color w:val="000000"/>
          <w:sz w:val="24"/>
          <w:szCs w:val="24"/>
          <w:lang w:val="en-US" w:eastAsia="pl-PL"/>
        </w:rPr>
        <w:t>grupy</w:t>
      </w:r>
      <w:proofErr w:type="spellEnd"/>
      <w:r w:rsidRPr="00235DF6">
        <w:rPr>
          <w:rFonts w:ascii="Arial" w:eastAsia="Times New Roman" w:hAnsi="Arial" w:cs="Arial"/>
          <w:color w:val="000000"/>
          <w:sz w:val="24"/>
          <w:szCs w:val="24"/>
          <w:lang w:val="en-US" w:eastAsia="pl-PL"/>
        </w:rPr>
        <w:t>);</w:t>
      </w:r>
    </w:p>
    <w:p w14:paraId="5ADBB0E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(3,2% grupy);</w:t>
      </w:r>
    </w:p>
    <w:p w14:paraId="391E872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słuchowa – 1 osoba (0,5% grupy);</w:t>
      </w:r>
    </w:p>
    <w:p w14:paraId="6333B8F6"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problemy z przetwarzaniem słuchowym – 1 osoba (0,5% grupy);</w:t>
      </w:r>
    </w:p>
    <w:p w14:paraId="524B8E62"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31 osób (14,4% grupy);</w:t>
      </w:r>
    </w:p>
    <w:p w14:paraId="37A21759"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adaptacyjne – 1 osoba (0,5% grupy);</w:t>
      </w:r>
    </w:p>
    <w:p w14:paraId="606691B0"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5 osób (2,3% grupy);</w:t>
      </w:r>
    </w:p>
    <w:p w14:paraId="59EFFD6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zaburzenie obsesyjno-</w:t>
      </w:r>
      <w:proofErr w:type="spellStart"/>
      <w:r w:rsidRPr="00235DF6">
        <w:rPr>
          <w:rFonts w:ascii="Arial" w:eastAsia="Times New Roman" w:hAnsi="Arial" w:cs="Arial"/>
          <w:color w:val="000000"/>
          <w:sz w:val="24"/>
          <w:szCs w:val="24"/>
          <w:lang w:eastAsia="pl-PL"/>
        </w:rPr>
        <w:t>kompulsyjne</w:t>
      </w:r>
      <w:proofErr w:type="spellEnd"/>
      <w:r w:rsidRPr="00235DF6">
        <w:rPr>
          <w:rFonts w:ascii="Arial" w:eastAsia="Times New Roman" w:hAnsi="Arial" w:cs="Arial"/>
          <w:color w:val="000000"/>
          <w:sz w:val="24"/>
          <w:szCs w:val="24"/>
          <w:lang w:eastAsia="pl-PL"/>
        </w:rPr>
        <w:t xml:space="preserve"> – 1 osoba (0,5% grupy);</w:t>
      </w:r>
    </w:p>
    <w:p w14:paraId="66D94AE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3 osoby (1,5% grupy);</w:t>
      </w:r>
    </w:p>
    <w:p w14:paraId="391B951A"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psychosomatyczne – 1 osoba (0,5% grupy);</w:t>
      </w:r>
    </w:p>
    <w:p w14:paraId="7233D2B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3 osoby (1,5% grupy).</w:t>
      </w:r>
    </w:p>
    <w:p w14:paraId="4927D99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Grupa osób z samodzielną diagnozą dysleksji składała się z:</w:t>
      </w:r>
    </w:p>
    <w:p w14:paraId="18D3AD0F"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154 osób bez diagnoz zaburzeń współwystępujących (76,6% grupy);</w:t>
      </w:r>
    </w:p>
    <w:p w14:paraId="0BA2D033"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47 osób z diagnozami zaburzeń współwystępujących (23,4% grupy). Wśród tych zaburzeń znalazły się:</w:t>
      </w:r>
    </w:p>
    <w:p w14:paraId="0019ED67"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6 osób (3% grupy);</w:t>
      </w:r>
    </w:p>
    <w:p w14:paraId="7DB536B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ADHD – 8 osób (4% grupy);</w:t>
      </w:r>
    </w:p>
    <w:p w14:paraId="2C013AC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(3,5% grupy);</w:t>
      </w:r>
    </w:p>
    <w:p w14:paraId="463927EE"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jąkanie – 1 osoba (0,5% grupy);</w:t>
      </w:r>
    </w:p>
    <w:p w14:paraId="19BDB96B"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mózgowe porażenie dziecięce – 1 osoba (0,5% grupy);</w:t>
      </w:r>
    </w:p>
    <w:p w14:paraId="1E7EFD3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8 osób (4% grupy);</w:t>
      </w:r>
    </w:p>
    <w:p w14:paraId="08C3E093"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4 osoby (2% grupy);</w:t>
      </w:r>
    </w:p>
    <w:p w14:paraId="5D8B1B7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obsesyjno-</w:t>
      </w:r>
      <w:proofErr w:type="spellStart"/>
      <w:r w:rsidRPr="00235DF6">
        <w:rPr>
          <w:rFonts w:ascii="Arial" w:eastAsia="Times New Roman" w:hAnsi="Arial" w:cs="Arial"/>
          <w:color w:val="000000"/>
          <w:sz w:val="24"/>
          <w:szCs w:val="24"/>
          <w:lang w:eastAsia="pl-PL"/>
        </w:rPr>
        <w:t>kompulsyjne</w:t>
      </w:r>
      <w:proofErr w:type="spellEnd"/>
      <w:r w:rsidRPr="00235DF6">
        <w:rPr>
          <w:rFonts w:ascii="Arial" w:eastAsia="Times New Roman" w:hAnsi="Arial" w:cs="Arial"/>
          <w:color w:val="000000"/>
          <w:sz w:val="24"/>
          <w:szCs w:val="24"/>
          <w:lang w:eastAsia="pl-PL"/>
        </w:rPr>
        <w:t xml:space="preserve"> – 1 osoba (0,5% grupy);</w:t>
      </w:r>
    </w:p>
    <w:p w14:paraId="3CA9FA6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1 osoba (0,5% grupy);</w:t>
      </w:r>
    </w:p>
    <w:p w14:paraId="5FF713A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4 osoby (2% grupy).</w:t>
      </w:r>
    </w:p>
    <w:p w14:paraId="24BA0B9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2 osoby (1% grupy), choć nie wymieniły nazwy współwystępującego zaburzenia, podały informację o ustalonych przez BON UW dostosowaniach procesu nauki wynikających z doświadczanych trudności i polegających na wydłużeniu czasu na wykonanie zadań tekstowych/na egzaminach.</w:t>
      </w:r>
    </w:p>
    <w:p w14:paraId="105C82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bez diagnozy trudności w czytaniu znalazło się:</w:t>
      </w:r>
    </w:p>
    <w:p w14:paraId="48012A8F"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205 osób bez diagnoz zaburzeń współwystępujących (94,9% grupy);</w:t>
      </w:r>
    </w:p>
    <w:p w14:paraId="6FCA7974"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11 osób z diagnozami zaburzeń współwystępujących (5,1% grupy), w tym:</w:t>
      </w:r>
    </w:p>
    <w:p w14:paraId="45A2383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1 osoba (0,5% grupy);</w:t>
      </w:r>
    </w:p>
    <w:p w14:paraId="7B54B24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3 osoby (1,5% grupy);</w:t>
      </w:r>
    </w:p>
    <w:p w14:paraId="7B497057"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wzrokowa – 1 osoba (0,5% grupy);</w:t>
      </w:r>
    </w:p>
    <w:p w14:paraId="4B67AC52"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1 osoba (0,5% grupy);</w:t>
      </w:r>
    </w:p>
    <w:p w14:paraId="634AA33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tężyczka utajona – 1 osoba (0,5% grupy);</w:t>
      </w:r>
    </w:p>
    <w:p w14:paraId="4164AEF4"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 3 osoby (1,5% grupy);</w:t>
      </w:r>
    </w:p>
    <w:p w14:paraId="4E989A0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odżywiania – 1 osoba (0,5% grupy);</w:t>
      </w:r>
    </w:p>
    <w:p w14:paraId="4F5A2B7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płynności mowy – 1 osoba (0,5% grupy);</w:t>
      </w:r>
    </w:p>
    <w:p w14:paraId="5142C9D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xml:space="preserve">zespół </w:t>
      </w:r>
      <w:proofErr w:type="spellStart"/>
      <w:r w:rsidRPr="00235DF6">
        <w:rPr>
          <w:rFonts w:ascii="Arial" w:eastAsia="Times New Roman" w:hAnsi="Arial" w:cs="Arial"/>
          <w:color w:val="000000"/>
          <w:sz w:val="24"/>
          <w:szCs w:val="24"/>
          <w:lang w:eastAsia="pl-PL"/>
        </w:rPr>
        <w:t>Brugadów</w:t>
      </w:r>
      <w:proofErr w:type="spellEnd"/>
      <w:r w:rsidRPr="00235DF6">
        <w:rPr>
          <w:rFonts w:ascii="Arial" w:eastAsia="Times New Roman" w:hAnsi="Arial" w:cs="Arial"/>
          <w:color w:val="000000"/>
          <w:sz w:val="24"/>
          <w:szCs w:val="24"/>
          <w:lang w:eastAsia="pl-PL"/>
        </w:rPr>
        <w:t xml:space="preserve"> typu II – 1 osoba (0,5% grupy).</w:t>
      </w:r>
    </w:p>
    <w:p w14:paraId="0A468491" w14:textId="77777777" w:rsidR="00235DF6" w:rsidRPr="00235DF6" w:rsidRDefault="00235DF6" w:rsidP="00235DF6">
      <w:pPr>
        <w:spacing w:after="0" w:line="240" w:lineRule="auto"/>
        <w:jc w:val="both"/>
        <w:rPr>
          <w:rFonts w:ascii="Arial" w:eastAsia="Times New Roman" w:hAnsi="Arial" w:cs="Arial"/>
          <w:sz w:val="24"/>
          <w:szCs w:val="24"/>
          <w:lang w:eastAsia="pl-PL"/>
        </w:rPr>
      </w:pPr>
    </w:p>
    <w:p w14:paraId="4E587662" w14:textId="77777777"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Biorąc pod uwagę odpowiedzi osób ze wszystkich trzech grup, należy zauważyć, że 118 respondentów (18,6% próby) deklarowało posiadanie diagnozy dwóch różnych zaburzeń (w tym dysleksji), a 23 respondentów (3,6% próby) przyznało, że mają zdiagnozowane trzy i więcej różnych zaburzeń.</w:t>
      </w:r>
    </w:p>
    <w:p w14:paraId="32C260EC" w14:textId="77777777" w:rsidR="00235DF6" w:rsidRPr="00235DF6" w:rsidRDefault="00235DF6" w:rsidP="00235DF6">
      <w:pPr>
        <w:spacing w:after="0" w:line="240" w:lineRule="auto"/>
        <w:rPr>
          <w:rFonts w:ascii="Arial" w:eastAsia="Times New Roman" w:hAnsi="Arial" w:cs="Arial"/>
          <w:sz w:val="24"/>
          <w:szCs w:val="24"/>
          <w:lang w:eastAsia="pl-PL"/>
        </w:rPr>
      </w:pPr>
    </w:p>
    <w:p w14:paraId="660D16F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Wyniki ankiety własnej</w:t>
      </w:r>
    </w:p>
    <w:p w14:paraId="1F37351C" w14:textId="7E2825E6"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Poniżej zostały przedstawione ogólne wyniki dotyczące wybranych kwestii związanych ze stawianymi pytaniami badawczymi. Uzyskane dane zostały poddane analizie statystycznej. Ze względu na popularnonaukowy charakter raportu pominięto szczegółowe informacje dotyczące zastosowanych testów statystycznych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uzyskanych wartości poszczególnych statystyk. Istotność statystyczna opisywanych</w:t>
      </w:r>
      <w:r w:rsidR="00AF35FB">
        <w:rPr>
          <w:rFonts w:ascii="Arial" w:eastAsia="Times New Roman" w:hAnsi="Arial" w:cs="Arial"/>
          <w:color w:val="000000"/>
          <w:sz w:val="24"/>
          <w:szCs w:val="24"/>
          <w:lang w:eastAsia="pl-PL"/>
        </w:rPr>
        <w:t xml:space="preserve"> </w:t>
      </w:r>
      <w:r w:rsidRPr="00235DF6">
        <w:rPr>
          <w:rFonts w:ascii="Arial" w:eastAsia="Times New Roman" w:hAnsi="Arial" w:cs="Arial"/>
          <w:color w:val="000000"/>
          <w:sz w:val="24"/>
          <w:szCs w:val="24"/>
          <w:lang w:eastAsia="pl-PL"/>
        </w:rPr>
        <w:t>różnic międzygrupowych została udokumentowana wynikami odpowiednich testów statystycznych.</w:t>
      </w:r>
    </w:p>
    <w:p w14:paraId="23FD472B" w14:textId="77777777" w:rsidR="00235DF6" w:rsidRPr="00235DF6" w:rsidRDefault="00235DF6" w:rsidP="00235DF6">
      <w:pPr>
        <w:spacing w:after="0" w:line="240" w:lineRule="auto"/>
        <w:rPr>
          <w:rFonts w:ascii="Arial" w:eastAsia="Times New Roman" w:hAnsi="Arial" w:cs="Arial"/>
          <w:sz w:val="24"/>
          <w:szCs w:val="24"/>
          <w:lang w:eastAsia="pl-PL"/>
        </w:rPr>
      </w:pPr>
    </w:p>
    <w:p w14:paraId="46A007D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Stres związany z epidemią COVID-19 </w:t>
      </w:r>
    </w:p>
    <w:p w14:paraId="0459F7C3" w14:textId="44F1A172"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W ankiecie badani byli proszeni o określenie na skali od 0 do 100, w jakim stopniu wprowadzenie obostrzeń związanych z pojawieniem się epidemii </w:t>
      </w:r>
      <w:proofErr w:type="spellStart"/>
      <w:r w:rsidRPr="00235DF6">
        <w:rPr>
          <w:rFonts w:ascii="Arial" w:eastAsia="Times New Roman" w:hAnsi="Arial" w:cs="Arial"/>
          <w:color w:val="000000"/>
          <w:sz w:val="24"/>
          <w:szCs w:val="24"/>
          <w:lang w:eastAsia="pl-PL"/>
        </w:rPr>
        <w:t>koronawirusa</w:t>
      </w:r>
      <w:proofErr w:type="spellEnd"/>
      <w:r w:rsidRPr="00235DF6">
        <w:rPr>
          <w:rFonts w:ascii="Arial" w:eastAsia="Times New Roman" w:hAnsi="Arial" w:cs="Arial"/>
          <w:color w:val="000000"/>
          <w:sz w:val="24"/>
          <w:szCs w:val="24"/>
          <w:lang w:eastAsia="pl-PL"/>
        </w:rPr>
        <w:t xml:space="preserve"> było dla nich stresujące. Analizy statystyczne wykazały, że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porównaniu z osobami typowo czytającymi osoby z formalną diagnozą,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deklarowały istotnie wyższy poziom odczuwanego stresu związany z obostrzeniami epidemicznymi (wykres 2.).</w:t>
      </w:r>
    </w:p>
    <w:p w14:paraId="0A82A4D9" w14:textId="77777777" w:rsidR="00235DF6" w:rsidRPr="00235DF6" w:rsidRDefault="00235DF6" w:rsidP="00235DF6">
      <w:pPr>
        <w:spacing w:after="0" w:line="240" w:lineRule="auto"/>
        <w:rPr>
          <w:rFonts w:ascii="Arial" w:eastAsia="Times New Roman" w:hAnsi="Arial" w:cs="Arial"/>
          <w:sz w:val="24"/>
          <w:szCs w:val="24"/>
          <w:lang w:eastAsia="pl-PL"/>
        </w:rPr>
      </w:pPr>
    </w:p>
    <w:p w14:paraId="50FAC45D" w14:textId="0E9A021D"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689C39C6" wp14:editId="47D9EE5B">
            <wp:extent cx="5734050" cy="30480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3F4C1214" w14:textId="204C20DF" w:rsidR="00235DF6" w:rsidRPr="00235DF6" w:rsidRDefault="00235DF6" w:rsidP="00AF35F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2</w:t>
      </w:r>
      <w:r w:rsidRPr="00235DF6">
        <w:rPr>
          <w:rFonts w:ascii="Arial" w:eastAsia="Times New Roman" w:hAnsi="Arial" w:cs="Arial"/>
          <w:color w:val="000000"/>
          <w:sz w:val="24"/>
          <w:szCs w:val="24"/>
          <w:lang w:eastAsia="pl-PL"/>
        </w:rPr>
        <w:t>. Średni poziom odczuwanego stresu w związku z wprowadzeniem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marcu 2020 r. obostrzeń epidemicznych w poszczególnych grupach respondentów. Skala ocen: 1 „w ogólne nie wpłynęło na poziom odczuwanego przeze mnie stresu”, 100 „ekstremalnie wpłynęło na poziom odczuwanego przeze mnie stresu”.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645E717D" w14:textId="77777777" w:rsidR="00235DF6" w:rsidRPr="00235DF6" w:rsidRDefault="00235DF6" w:rsidP="00235DF6">
      <w:pPr>
        <w:spacing w:after="0" w:line="240" w:lineRule="auto"/>
        <w:rPr>
          <w:rFonts w:ascii="Arial" w:eastAsia="Times New Roman" w:hAnsi="Arial" w:cs="Arial"/>
          <w:sz w:val="24"/>
          <w:szCs w:val="24"/>
          <w:lang w:eastAsia="pl-PL"/>
        </w:rPr>
      </w:pPr>
    </w:p>
    <w:p w14:paraId="1634BBA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Zmiana miejsca zamieszkania i warunki do nauki</w:t>
      </w:r>
    </w:p>
    <w:p w14:paraId="000FB716" w14:textId="0E881DBE"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celu kontrolowania znaczenia odmiennych warunków zamieszkania na przebieg nauki zdalnej osoby badane były pytane o możliwości uczestniczenia w e-zajęciach w miejscu, w którym przebywały. Jak podaje literatura (</w:t>
      </w:r>
      <w:proofErr w:type="spellStart"/>
      <w:r w:rsidRPr="00235DF6">
        <w:rPr>
          <w:rFonts w:ascii="Arial" w:eastAsia="Times New Roman" w:hAnsi="Arial" w:cs="Arial"/>
          <w:color w:val="000000"/>
          <w:sz w:val="24"/>
          <w:szCs w:val="24"/>
          <w:lang w:eastAsia="pl-PL"/>
        </w:rPr>
        <w:t>Alruwais</w:t>
      </w:r>
      <w:proofErr w:type="spellEnd"/>
      <w:r w:rsidRPr="00235DF6">
        <w:rPr>
          <w:rFonts w:ascii="Arial" w:eastAsia="Times New Roman" w:hAnsi="Arial" w:cs="Arial"/>
          <w:color w:val="000000"/>
          <w:sz w:val="24"/>
          <w:szCs w:val="24"/>
          <w:lang w:eastAsia="pl-PL"/>
        </w:rPr>
        <w:t xml:space="preserve">, </w:t>
      </w:r>
      <w:proofErr w:type="spellStart"/>
      <w:r w:rsidRPr="00235DF6">
        <w:rPr>
          <w:rFonts w:ascii="Arial" w:eastAsia="Times New Roman" w:hAnsi="Arial" w:cs="Arial"/>
          <w:color w:val="000000"/>
          <w:sz w:val="24"/>
          <w:szCs w:val="24"/>
          <w:lang w:eastAsia="pl-PL"/>
        </w:rPr>
        <w:t>Wills</w:t>
      </w:r>
      <w:proofErr w:type="spellEnd"/>
      <w:r w:rsidRPr="00235DF6">
        <w:rPr>
          <w:rFonts w:ascii="Arial" w:eastAsia="Times New Roman" w:hAnsi="Arial" w:cs="Arial"/>
          <w:color w:val="000000"/>
          <w:sz w:val="24"/>
          <w:szCs w:val="24"/>
          <w:lang w:eastAsia="pl-PL"/>
        </w:rPr>
        <w:t xml:space="preserve"> i </w:t>
      </w:r>
      <w:proofErr w:type="spellStart"/>
      <w:r w:rsidRPr="00235DF6">
        <w:rPr>
          <w:rFonts w:ascii="Arial" w:eastAsia="Times New Roman" w:hAnsi="Arial" w:cs="Arial"/>
          <w:color w:val="000000"/>
          <w:sz w:val="24"/>
          <w:szCs w:val="24"/>
          <w:lang w:eastAsia="pl-PL"/>
        </w:rPr>
        <w:t>Wald</w:t>
      </w:r>
      <w:proofErr w:type="spellEnd"/>
      <w:r w:rsidRPr="00235DF6">
        <w:rPr>
          <w:rFonts w:ascii="Arial" w:eastAsia="Times New Roman" w:hAnsi="Arial" w:cs="Arial"/>
          <w:color w:val="000000"/>
          <w:sz w:val="24"/>
          <w:szCs w:val="24"/>
          <w:lang w:eastAsia="pl-PL"/>
        </w:rPr>
        <w:t>, 2018), w sytuacji edukacji zdalnej ważnym czynnikiem są odpowiednie warunki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nauki w domu (szybki Internet i komputer, metraż mieszkania itp.). W porównaniu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osobami typowo czytającymi grupa osób z samodzielną diagnozą dysleksji istotnie niżej oceniła dogodność swoich warunków do studiowania. Różnice dotyczyły: </w:t>
      </w:r>
    </w:p>
    <w:p w14:paraId="75EF6A0E" w14:textId="77777777" w:rsidR="00235DF6" w:rsidRPr="00235DF6" w:rsidRDefault="00235DF6" w:rsidP="00235DF6">
      <w:pPr>
        <w:numPr>
          <w:ilvl w:val="0"/>
          <w:numId w:val="6"/>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metrażu mieszkania, </w:t>
      </w:r>
    </w:p>
    <w:p w14:paraId="7CC49B96" w14:textId="77777777" w:rsidR="00235DF6" w:rsidRPr="00235DF6" w:rsidRDefault="00235DF6" w:rsidP="00235DF6">
      <w:pPr>
        <w:numPr>
          <w:ilvl w:val="0"/>
          <w:numId w:val="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liczby współmieszkańców,</w:t>
      </w:r>
    </w:p>
    <w:p w14:paraId="1D91C4C0" w14:textId="77777777" w:rsidR="00235DF6" w:rsidRPr="00235DF6" w:rsidRDefault="00235DF6" w:rsidP="00235DF6">
      <w:pPr>
        <w:numPr>
          <w:ilvl w:val="0"/>
          <w:numId w:val="6"/>
        </w:numPr>
        <w:spacing w:after="24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dostępu do własnego komputera. </w:t>
      </w:r>
    </w:p>
    <w:p w14:paraId="7C35CBF1" w14:textId="77777777" w:rsidR="00235DF6" w:rsidRPr="00235DF6" w:rsidRDefault="00235DF6" w:rsidP="00235DF6">
      <w:pPr>
        <w:spacing w:before="240" w:after="24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Dodatkowo osoby z samodzielną diagnozą dysleksji istotnie niżej oceniły dostępność Internetu niż osoby typowo czytające i osoby z diagnozą dysleksji. Ocena warunków studiowania przez grupę z formalną diagnozą dysleksji plasowała się pomiędzy ocenami grupy osób typowo czytających a grupy osób z samodzielną diagnozą dysleksji.</w:t>
      </w:r>
    </w:p>
    <w:p w14:paraId="36DDE6B8" w14:textId="3BA459BF"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Odnośnie do pytań dotyczących wykorzystania narzędzi hi-tech do nauki zdalnej grupy osób z dysleksją i z samodzielną diagnozą dysleksji wskazały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większe trudności w pracy ze względu na nieobeznanie z nowymi technologiami (wykres 3.). Jednocześnie grupa z samodzielną diagnozą dysleksji w porównaniu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osób typowo czytających wskazała, że źródłem trudności z nauką była większa niż dotychczas potrzeba korzystania z Internetu, komputera i programów biurowych (Word, PowerPoint, Excel, SPSS itd.), z których wcześniej można było korzystać </w:t>
      </w:r>
      <w:r w:rsidRPr="00235DF6">
        <w:rPr>
          <w:rFonts w:ascii="Arial" w:eastAsia="Times New Roman" w:hAnsi="Arial" w:cs="Arial"/>
          <w:color w:val="000000"/>
          <w:sz w:val="24"/>
          <w:szCs w:val="24"/>
          <w:lang w:eastAsia="pl-PL"/>
        </w:rPr>
        <w:lastRenderedPageBreak/>
        <w:t>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 (wykres 4.). Wszystkie trzy grupy respondentów w porównywalny sposób oceniły stopień, w jakim:</w:t>
      </w:r>
    </w:p>
    <w:p w14:paraId="79E8F895" w14:textId="7777777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utrudnieniem dla nauki zdalnej były bodźce rozpraszające uwagę, tj. portale społecznościowe, poczta, serwisy informacyjne;</w:t>
      </w:r>
    </w:p>
    <w:p w14:paraId="799560DD" w14:textId="2EB0BD3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ułatwieniem było posiadanie materiałów do nauki zdalnej w jednym miejscu bez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potrzeby szukania ich w bibliotece.</w:t>
      </w:r>
    </w:p>
    <w:p w14:paraId="72B1FE7C" w14:textId="77777777" w:rsidR="00235DF6" w:rsidRPr="00235DF6" w:rsidRDefault="00235DF6" w:rsidP="00235DF6">
      <w:pPr>
        <w:spacing w:after="0" w:line="240" w:lineRule="auto"/>
        <w:rPr>
          <w:rFonts w:ascii="Arial" w:eastAsia="Times New Roman" w:hAnsi="Arial" w:cs="Arial"/>
          <w:sz w:val="24"/>
          <w:szCs w:val="24"/>
          <w:lang w:eastAsia="pl-PL"/>
        </w:rPr>
      </w:pPr>
    </w:p>
    <w:p w14:paraId="317CD328" w14:textId="51D43AAF"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4C614987" wp14:editId="08662633">
            <wp:extent cx="5734050" cy="31718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1CBD85F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3.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nie jestem obeznany/a z nowymi technologiami”. Skala ocen: -2 „zupełnie się nie zgadzam”, -1 „raczej się nie zgadzam”, 0 „trudno powiedzieć”, 1 „raczej się zgadzam”, 2 „całkowicie się zgadzam”. Widełki na wykresie oznaczają błąd standardowy średniej.</w:t>
      </w:r>
    </w:p>
    <w:p w14:paraId="2DC925CE" w14:textId="37B5D74F" w:rsidR="00235DF6" w:rsidRPr="00235DF6" w:rsidRDefault="00235DF6" w:rsidP="00235DF6">
      <w:pPr>
        <w:spacing w:after="240" w:line="240" w:lineRule="auto"/>
        <w:rPr>
          <w:rFonts w:ascii="Arial" w:eastAsia="Times New Roman" w:hAnsi="Arial" w:cs="Arial"/>
          <w:sz w:val="24"/>
          <w:szCs w:val="24"/>
          <w:lang w:eastAsia="pl-PL"/>
        </w:rPr>
      </w:pPr>
    </w:p>
    <w:p w14:paraId="5611C82A" w14:textId="77777777" w:rsidR="00235DF6" w:rsidRPr="00235DF6" w:rsidRDefault="00235DF6" w:rsidP="00235DF6">
      <w:pPr>
        <w:spacing w:after="240" w:line="240" w:lineRule="auto"/>
        <w:rPr>
          <w:rFonts w:ascii="Arial" w:eastAsia="Times New Roman" w:hAnsi="Arial" w:cs="Arial"/>
          <w:sz w:val="24"/>
          <w:szCs w:val="24"/>
          <w:lang w:eastAsia="pl-PL"/>
        </w:rPr>
      </w:pPr>
    </w:p>
    <w:p w14:paraId="18BC17D8" w14:textId="09D000B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4B4EAFC3" wp14:editId="0117D195">
            <wp:extent cx="5734050" cy="3048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02EB824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4.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do nauki w większym stopniu potrzebne są Internet, komputer i programy biurowe (Word, PowerPoint, Excel, SPSS), z których wcześniej mogłem/</w:t>
      </w:r>
      <w:proofErr w:type="spellStart"/>
      <w:r w:rsidRPr="00235DF6">
        <w:rPr>
          <w:rFonts w:ascii="Arial" w:eastAsia="Times New Roman" w:hAnsi="Arial" w:cs="Arial"/>
          <w:color w:val="000000"/>
          <w:sz w:val="24"/>
          <w:szCs w:val="24"/>
          <w:lang w:eastAsia="pl-PL"/>
        </w:rPr>
        <w:t>am</w:t>
      </w:r>
      <w:proofErr w:type="spellEnd"/>
      <w:r w:rsidRPr="00235DF6">
        <w:rPr>
          <w:rFonts w:ascii="Arial" w:eastAsia="Times New Roman" w:hAnsi="Arial" w:cs="Arial"/>
          <w:color w:val="000000"/>
          <w:sz w:val="24"/>
          <w:szCs w:val="24"/>
          <w:lang w:eastAsia="pl-PL"/>
        </w:rPr>
        <w:t xml:space="preserve"> korzystać na uczelni”. Skala ocen: -2 „zupełnie się nie zgadzam”, -1 „raczej się nie zgadzam”, 0 „trudno powiedzieć”, 1 „raczej się zgadzam”, 2 „całkowicie się zgadzam”. Widełki na wykresie oznaczają błąd standardowy średniej.</w:t>
      </w:r>
    </w:p>
    <w:p w14:paraId="1FF28CBB" w14:textId="77777777" w:rsidR="00235DF6" w:rsidRPr="00235DF6" w:rsidRDefault="00235DF6" w:rsidP="00235DF6">
      <w:pPr>
        <w:spacing w:after="240" w:line="240" w:lineRule="auto"/>
        <w:rPr>
          <w:rFonts w:ascii="Arial" w:eastAsia="Times New Roman" w:hAnsi="Arial" w:cs="Arial"/>
          <w:sz w:val="24"/>
          <w:szCs w:val="24"/>
          <w:lang w:eastAsia="pl-PL"/>
        </w:rPr>
      </w:pPr>
    </w:p>
    <w:p w14:paraId="370DA3B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Organizacja zdalnego procesu dydaktycznego</w:t>
      </w:r>
    </w:p>
    <w:p w14:paraId="214ECD1F" w14:textId="6EEAC515"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grupy z dysleksją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oceniły jako trudniejsze:</w:t>
      </w:r>
    </w:p>
    <w:p w14:paraId="671FDABA"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zaliczenie w formie zdalnej niż w formie stacjonarnej (wykres 5.);</w:t>
      </w:r>
    </w:p>
    <w:p w14:paraId="4C1701D0"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 (wykres 6.);</w:t>
      </w:r>
    </w:p>
    <w:p w14:paraId="29AD6626" w14:textId="77777777" w:rsidR="00235DF6" w:rsidRPr="00235DF6" w:rsidRDefault="00235DF6" w:rsidP="00235DF6">
      <w:pPr>
        <w:numPr>
          <w:ilvl w:val="0"/>
          <w:numId w:val="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(wykres 7.).</w:t>
      </w:r>
    </w:p>
    <w:p w14:paraId="7C34949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pod względem subiektywnie odczuwanego:</w:t>
      </w:r>
    </w:p>
    <w:p w14:paraId="08368948"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indywidualnego traktowania studentów w czasie zdalnej nauki; </w:t>
      </w:r>
    </w:p>
    <w:p w14:paraId="2F3D49D4"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zaangażowania w naukę w trybie zdalnym;</w:t>
      </w:r>
    </w:p>
    <w:p w14:paraId="5D46061B"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wsparcia ze strony prowadzącego zajęcia w wypadku napotkanych trudności w nauce zdalnej; </w:t>
      </w:r>
    </w:p>
    <w:p w14:paraId="62652D92"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anonimowości w czasie studiowania w trybie zdalnym.</w:t>
      </w:r>
    </w:p>
    <w:p w14:paraId="5E922C3A" w14:textId="5961A2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Odpowiedzi na szczegółowe pytania dotyczące nauki w trybie zdalnym ujawniły,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grupy różniły się pod względem odczuwanej subiektywnie presji czasu podczas wykonywania zadań online (w porównaniu z zajęciami odbywającymi się stacjonarnie). Grupa z samodzielną diagnozą dysleksji odczuwała większą presję czasu niż grupa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diagnozą dysleksji, a obie grupy przewyższały pod tym względem grupę osób typowo czytających (wykres 8.).</w:t>
      </w:r>
    </w:p>
    <w:p w14:paraId="28B7A662"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osobami typowo czytającymi grupa osób z samodzielną diagnozą dysleksji:</w:t>
      </w:r>
    </w:p>
    <w:p w14:paraId="2876B400"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mniejszym stopniu odczuwała, że zdalna nauka pozwalała im lepiej dostosować sposób pracy do własnych potrzeb, dając możliwość wielokrotnego odtworzenia nagrania audio lub wideo (wykres 9.);</w:t>
      </w:r>
    </w:p>
    <w:p w14:paraId="6CE438E4"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odczuła, że nauka zdalna wymagała zwiększonego nakładu czytania i pisania niż nauka w trybie stacjonarnym (wykres 10.).</w:t>
      </w:r>
    </w:p>
    <w:p w14:paraId="0A677B5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Grupy nie różniły się pod względem subiektywnie odczuwanego:</w:t>
      </w:r>
    </w:p>
    <w:p w14:paraId="3EF288E6"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7ABB6A"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kontrolowania tematu i poświęconego czasu na naukę;</w:t>
      </w:r>
    </w:p>
    <w:p w14:paraId="7474C5DE"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3ED7D94C" w14:textId="77777777" w:rsidR="00235DF6" w:rsidRPr="00235DF6" w:rsidRDefault="00235DF6" w:rsidP="00235DF6">
      <w:pPr>
        <w:spacing w:after="240" w:line="240" w:lineRule="auto"/>
        <w:rPr>
          <w:rFonts w:ascii="Arial" w:eastAsia="Times New Roman" w:hAnsi="Arial" w:cs="Arial"/>
          <w:sz w:val="24"/>
          <w:szCs w:val="24"/>
          <w:lang w:eastAsia="pl-PL"/>
        </w:rPr>
      </w:pPr>
    </w:p>
    <w:p w14:paraId="79B817FD" w14:textId="5DA7FD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24B99F03" wp14:editId="348E999D">
            <wp:extent cx="5734050" cy="31718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67D4DE2" w14:textId="2FA513A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5.</w:t>
      </w:r>
      <w:r w:rsidRPr="00235DF6">
        <w:rPr>
          <w:rFonts w:ascii="Arial" w:eastAsia="Times New Roman" w:hAnsi="Arial" w:cs="Arial"/>
          <w:color w:val="000000"/>
          <w:sz w:val="24"/>
          <w:szCs w:val="24"/>
          <w:lang w:eastAsia="pl-PL"/>
        </w:rPr>
        <w:t xml:space="preserve"> Średnie oceny przyznawane przez respondentów z trzech grup dla stwierdzenia „Jest mi trudniej zaliczać przedmioty w nauczaniu zdalnym niż stacjonarnym”.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30218C14" w14:textId="0338E4A1" w:rsidR="00235DF6" w:rsidRPr="00235DF6" w:rsidRDefault="00235DF6" w:rsidP="00235DF6">
      <w:pPr>
        <w:spacing w:after="240" w:line="240" w:lineRule="auto"/>
        <w:rPr>
          <w:rFonts w:ascii="Arial" w:eastAsia="Times New Roman" w:hAnsi="Arial" w:cs="Arial"/>
          <w:sz w:val="24"/>
          <w:szCs w:val="24"/>
          <w:lang w:eastAsia="pl-PL"/>
        </w:rPr>
      </w:pPr>
    </w:p>
    <w:p w14:paraId="38A7A125" w14:textId="77777777" w:rsidR="00235DF6" w:rsidRPr="00235DF6" w:rsidRDefault="00235DF6" w:rsidP="00235DF6">
      <w:pPr>
        <w:spacing w:after="240" w:line="240" w:lineRule="auto"/>
        <w:rPr>
          <w:rFonts w:ascii="Arial" w:eastAsia="Times New Roman" w:hAnsi="Arial" w:cs="Arial"/>
          <w:sz w:val="24"/>
          <w:szCs w:val="24"/>
          <w:lang w:eastAsia="pl-PL"/>
        </w:rPr>
      </w:pPr>
    </w:p>
    <w:p w14:paraId="12079EDB" w14:textId="2E3E1D9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00160166" wp14:editId="48743C67">
            <wp:extent cx="5734050" cy="31718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965E4E4" w14:textId="4A7439CD"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6.</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„Udaje mi się realizować zadania w ramach nauczania zdalnego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wymaganych terminach”. Skala ocen: -2 „zupełnie się nie zgadzam”, -1 „raczej się nie zgadzam”, 0 „trudno powiedzieć”, 1 „raczej się zgadzam”, 2 „całkowicie się zgadzam”. Widełki na wykresie oznaczają błąd standardowy średniej.</w:t>
      </w:r>
    </w:p>
    <w:p w14:paraId="650AD48B" w14:textId="77777777" w:rsidR="00235DF6" w:rsidRPr="00235DF6" w:rsidRDefault="00235DF6" w:rsidP="00235DF6">
      <w:pPr>
        <w:spacing w:after="0" w:line="240" w:lineRule="auto"/>
        <w:rPr>
          <w:rFonts w:ascii="Arial" w:eastAsia="Times New Roman" w:hAnsi="Arial" w:cs="Arial"/>
          <w:sz w:val="24"/>
          <w:szCs w:val="24"/>
          <w:lang w:eastAsia="pl-PL"/>
        </w:rPr>
      </w:pPr>
    </w:p>
    <w:p w14:paraId="6B88D0E7" w14:textId="3A045E6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7404838" wp14:editId="1AC2B0C6">
            <wp:extent cx="5734050" cy="31718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AC32A25" w14:textId="3AC6870E"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7.</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„Jest mi trudniej skontaktować się z prowadzącym zajęcia niż wtedy, kiedy nauczanie odbywało się stacjonarnie”. Skala ocen: -2 „zupełnie się nie zgadzam”, -1 „raczej się nie zgadzam”, 0 „trudno powiedzieć”, 1 „raczej się zgadzam”, 2 „całkowicie się zgadzam”. Widełki na wykresie oznaczają błąd standardowy średniej.</w:t>
      </w:r>
    </w:p>
    <w:p w14:paraId="2C34D3F0" w14:textId="77777777"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01B379D4" w14:textId="41A175F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281F85F5" wp14:editId="3E2F8F83">
            <wp:extent cx="5734050" cy="31718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D55731C" w14:textId="760CAE9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8. </w:t>
      </w:r>
      <w:r w:rsidRPr="00235DF6">
        <w:rPr>
          <w:rFonts w:ascii="Arial" w:eastAsia="Times New Roman" w:hAnsi="Arial" w:cs="Arial"/>
          <w:color w:val="000000"/>
          <w:sz w:val="24"/>
          <w:szCs w:val="24"/>
          <w:lang w:eastAsia="pl-PL"/>
        </w:rPr>
        <w:t>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„Czuję większą presję czasu na wykonywanie zadań online niż</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czułem/</w:t>
      </w:r>
      <w:proofErr w:type="spellStart"/>
      <w:r w:rsidRPr="00235DF6">
        <w:rPr>
          <w:rFonts w:ascii="Arial" w:eastAsia="Times New Roman" w:hAnsi="Arial" w:cs="Arial"/>
          <w:color w:val="000000"/>
          <w:sz w:val="24"/>
          <w:szCs w:val="24"/>
          <w:lang w:eastAsia="pl-PL"/>
        </w:rPr>
        <w:t>am</w:t>
      </w:r>
      <w:proofErr w:type="spellEnd"/>
      <w:r w:rsidRPr="00235DF6">
        <w:rPr>
          <w:rFonts w:ascii="Arial" w:eastAsia="Times New Roman" w:hAnsi="Arial" w:cs="Arial"/>
          <w:color w:val="000000"/>
          <w:sz w:val="24"/>
          <w:szCs w:val="24"/>
          <w:lang w:eastAsia="pl-PL"/>
        </w:rPr>
        <w:t>, kiedy zajęcia odbywały się stacjonarnie”. Skala ocen: -2 „zupełnie się nie zgadzam”, -1 „raczej się nie zgadzam”, 0 „trudno powiedzieć”, 1 „raczej się zgadzam”, 2 „całkowicie się zgadzam”. Widełki na wykresie oznaczają błąd standardowy średniej.</w:t>
      </w:r>
    </w:p>
    <w:p w14:paraId="322DE2C0" w14:textId="77777777" w:rsidR="00235DF6" w:rsidRPr="00235DF6" w:rsidRDefault="00235DF6" w:rsidP="00235DF6">
      <w:pPr>
        <w:spacing w:after="240" w:line="240" w:lineRule="auto"/>
        <w:rPr>
          <w:rFonts w:ascii="Arial" w:eastAsia="Times New Roman" w:hAnsi="Arial" w:cs="Arial"/>
          <w:sz w:val="24"/>
          <w:szCs w:val="24"/>
          <w:lang w:eastAsia="pl-PL"/>
        </w:rPr>
      </w:pPr>
    </w:p>
    <w:p w14:paraId="2560A79C" w14:textId="628BF14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5C62C18C" wp14:editId="51B9DE24">
            <wp:extent cx="5734050" cy="31718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07079AD" w14:textId="5B17DC07" w:rsidR="00235DF6" w:rsidRPr="00235DF6" w:rsidRDefault="00235DF6" w:rsidP="003816B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9.</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„Podczas nauki zdalnej mogę lepiej dostosować sposób nauki do własnych potrzeb – mogę wielokrotnie odtworzyć nagranie audio lub wideo”. Skala ocen: -2 „zupełnie się nie zgadzam”, -1 „raczej się nie zgadzam”, 0 „trudno powiedzieć”, 1 „raczej się zgadzam”, 2 „całkowicie się zgadzam”. Widełki na wykresie oznaczają błąd standardowy średniej.</w:t>
      </w:r>
    </w:p>
    <w:p w14:paraId="15F8A2E3" w14:textId="0FE959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3A804E1" wp14:editId="1E71D447">
            <wp:extent cx="5734050" cy="3171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E8DAB6A" w14:textId="7E7A96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10.</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„Nauczanie zdalne wymaga ode mnie więcej czytania i pisania niż stacjonarne”.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1BF5F041" w14:textId="77777777" w:rsidR="00235DF6" w:rsidRPr="00235DF6" w:rsidRDefault="00235DF6" w:rsidP="00235DF6">
      <w:pPr>
        <w:spacing w:after="0" w:line="240" w:lineRule="auto"/>
        <w:rPr>
          <w:rFonts w:ascii="Arial" w:eastAsia="Times New Roman" w:hAnsi="Arial" w:cs="Arial"/>
          <w:sz w:val="24"/>
          <w:szCs w:val="24"/>
          <w:lang w:eastAsia="pl-PL"/>
        </w:rPr>
      </w:pPr>
    </w:p>
    <w:p w14:paraId="450EB31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Formy pracy zdalnej i wykorzystywane narzędzia</w:t>
      </w:r>
    </w:p>
    <w:p w14:paraId="5FF8A1FD" w14:textId="4C295C2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Według respondentów jednymi z najczęściej wykorzystywanych narzędzi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trakcie nauczania zdalnego były </w:t>
      </w:r>
      <w:proofErr w:type="spellStart"/>
      <w:r w:rsidRPr="00235DF6">
        <w:rPr>
          <w:rFonts w:ascii="Arial" w:eastAsia="Times New Roman" w:hAnsi="Arial" w:cs="Arial"/>
          <w:color w:val="000000"/>
          <w:sz w:val="24"/>
          <w:szCs w:val="24"/>
          <w:lang w:eastAsia="pl-PL"/>
        </w:rPr>
        <w:t>wideokomunikatory</w:t>
      </w:r>
      <w:proofErr w:type="spellEnd"/>
      <w:r w:rsidRPr="00235DF6">
        <w:rPr>
          <w:rFonts w:ascii="Arial" w:eastAsia="Times New Roman" w:hAnsi="Arial" w:cs="Arial"/>
          <w:color w:val="000000"/>
          <w:sz w:val="24"/>
          <w:szCs w:val="24"/>
          <w:lang w:eastAsia="pl-PL"/>
        </w:rPr>
        <w:t xml:space="preserve"> (Google </w:t>
      </w:r>
      <w:proofErr w:type="spellStart"/>
      <w:r w:rsidRPr="00235DF6">
        <w:rPr>
          <w:rFonts w:ascii="Arial" w:eastAsia="Times New Roman" w:hAnsi="Arial" w:cs="Arial"/>
          <w:color w:val="000000"/>
          <w:sz w:val="24"/>
          <w:szCs w:val="24"/>
          <w:lang w:eastAsia="pl-PL"/>
        </w:rPr>
        <w:t>Meet</w:t>
      </w:r>
      <w:proofErr w:type="spellEnd"/>
      <w:r w:rsidRPr="00235DF6">
        <w:rPr>
          <w:rFonts w:ascii="Arial" w:eastAsia="Times New Roman" w:hAnsi="Arial" w:cs="Arial"/>
          <w:color w:val="000000"/>
          <w:sz w:val="24"/>
          <w:szCs w:val="24"/>
          <w:lang w:eastAsia="pl-PL"/>
        </w:rPr>
        <w:t xml:space="preserve"> i Zoom), platforma e-learningowa Kampus oraz poczta mailowa. Grupy ankietowanych różniły się pod względem subiektywnej oceny poziomu stresu związanego z określoną formą pracy podczas nauki zdalnej. W porównaniu z osobami typowo czytającymi grupy osób z samodzielną diagnozą dysleksji i z formalną diagnozą dysleksji wyżej oceniły poziom odczuwanego stresu w związku z: </w:t>
      </w:r>
    </w:p>
    <w:p w14:paraId="606B48B1" w14:textId="77777777" w:rsidR="00235DF6" w:rsidRPr="00235DF6" w:rsidRDefault="00235DF6" w:rsidP="00235DF6">
      <w:pPr>
        <w:numPr>
          <w:ilvl w:val="0"/>
          <w:numId w:val="1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 (wykres 11.);</w:t>
      </w:r>
    </w:p>
    <w:p w14:paraId="0ED089B7" w14:textId="77777777" w:rsidR="00235DF6" w:rsidRPr="00235DF6" w:rsidRDefault="00235DF6" w:rsidP="00235DF6">
      <w:pPr>
        <w:numPr>
          <w:ilvl w:val="0"/>
          <w:numId w:val="1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 (wykres 12.).</w:t>
      </w:r>
    </w:p>
    <w:p w14:paraId="713FFC0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deklarowany poziom dyskomfortu był wyższy u osób z samodzielną diagnozą dysleksji niż z formalną diagnozą dysleksji.</w:t>
      </w:r>
    </w:p>
    <w:p w14:paraId="3EB4B4D8" w14:textId="5CE8E70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porównaniu z osobami typowo czytającymi i osobami z formalną diagnozą dysleksji grupa osób z samodzielną diagnozą dysleksji wyżej oceniła poziom odczuwanego stresu w związku z zaliczeniami ustnymi przeprowadzanymi w trybie wideokonferencji (wykres 13.). W porównaniu z osobami typowo czytającymi osoby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wyżej oceniły poziom odczuwanego stresu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związku z wypracowaniami, esejami pisanymi na czas w ramach zaliczenia przedmiotu (wykres 14.). Ocena grupy z formalną diagnozą dysleksji plasowała się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względzie między ocenami osób typowo czytających a ocenami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w:t>
      </w:r>
    </w:p>
    <w:p w14:paraId="358A98B6" w14:textId="77777777" w:rsidR="00235DF6" w:rsidRPr="00235DF6" w:rsidRDefault="00235DF6" w:rsidP="00235DF6">
      <w:pPr>
        <w:spacing w:after="0" w:line="240" w:lineRule="auto"/>
        <w:ind w:right="60"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w ocenie stresu związanego z udziałem w:</w:t>
      </w:r>
    </w:p>
    <w:p w14:paraId="21115A95"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zaliczeniu zdalnym w postaci sprawdzianu z krótkimi pytaniami otwartymi;</w:t>
      </w:r>
    </w:p>
    <w:p w14:paraId="31CCBF27"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teście z pytaniami zamkniętymi na platformie e-learningowej;</w:t>
      </w:r>
    </w:p>
    <w:p w14:paraId="16CDF76A"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teście na platformie e-learningowej z ograniczeniem czasowym na jego wykonanie;</w:t>
      </w:r>
    </w:p>
    <w:p w14:paraId="7699527B"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brakiem możliwości powrotu do uprzednio udzielonej odpowiedzi;</w:t>
      </w:r>
    </w:p>
    <w:p w14:paraId="72FE22A1"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punktami ujemnymi.</w:t>
      </w:r>
    </w:p>
    <w:p w14:paraId="1A8374B3" w14:textId="77777777" w:rsidR="00235DF6" w:rsidRPr="00235DF6" w:rsidRDefault="00235DF6" w:rsidP="00235DF6">
      <w:pPr>
        <w:spacing w:after="240" w:line="240" w:lineRule="auto"/>
        <w:rPr>
          <w:rFonts w:ascii="Arial" w:eastAsia="Times New Roman" w:hAnsi="Arial" w:cs="Arial"/>
          <w:sz w:val="24"/>
          <w:szCs w:val="24"/>
          <w:lang w:eastAsia="pl-PL"/>
        </w:rPr>
      </w:pPr>
    </w:p>
    <w:p w14:paraId="4020B465" w14:textId="72C92941" w:rsidR="00235DF6" w:rsidRPr="00235DF6" w:rsidRDefault="00235DF6" w:rsidP="00235DF6">
      <w:pPr>
        <w:spacing w:after="0" w:line="240" w:lineRule="auto"/>
        <w:ind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FD01097" wp14:editId="0CC8148D">
            <wp:extent cx="5734050" cy="31718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3EF8E95" w14:textId="583DB07C" w:rsidR="00235DF6" w:rsidRPr="00235DF6" w:rsidRDefault="00235DF6" w:rsidP="00235DF6">
      <w:pPr>
        <w:spacing w:after="0" w:line="240" w:lineRule="auto"/>
        <w:jc w:val="both"/>
        <w:rPr>
          <w:rFonts w:ascii="Arial" w:eastAsia="Times New Roman" w:hAnsi="Arial" w:cs="Arial"/>
          <w:color w:val="000000"/>
          <w:sz w:val="24"/>
          <w:szCs w:val="24"/>
          <w:lang w:eastAsia="pl-PL"/>
        </w:rPr>
      </w:pPr>
      <w:r w:rsidRPr="00235DF6">
        <w:rPr>
          <w:rFonts w:ascii="Arial" w:eastAsia="Times New Roman" w:hAnsi="Arial" w:cs="Arial"/>
          <w:b/>
          <w:bCs/>
          <w:color w:val="000000"/>
          <w:sz w:val="24"/>
          <w:szCs w:val="24"/>
          <w:lang w:eastAsia="pl-PL"/>
        </w:rPr>
        <w:t>Wykres 11</w:t>
      </w:r>
      <w:r w:rsidRPr="00235DF6">
        <w:rPr>
          <w:rFonts w:ascii="Arial" w:eastAsia="Times New Roman" w:hAnsi="Arial" w:cs="Arial"/>
          <w:color w:val="000000"/>
          <w:sz w:val="24"/>
          <w:szCs w:val="24"/>
          <w:lang w:eastAsia="pl-PL"/>
        </w:rPr>
        <w:t>. Średnia ocena poziomu stresu związanego z wykonywaniem cotygodniowych prac domowych. Skala ocen: -2 „w ogóle nie były stresujące”, -1 „raczej nie były stresujące”, 0 „trudno powiedzieć”, 1 „były raczej stresujące”, 2 „były bardzo stresujące”. Widełki na wykresie oznaczają błąd standardowy średniej.</w:t>
      </w:r>
    </w:p>
    <w:p w14:paraId="1FD47161" w14:textId="77777777" w:rsidR="00235DF6" w:rsidRDefault="00235DF6" w:rsidP="00235DF6">
      <w:pPr>
        <w:spacing w:after="240" w:line="240" w:lineRule="auto"/>
        <w:rPr>
          <w:rFonts w:ascii="Arial" w:eastAsia="Times New Roman" w:hAnsi="Arial" w:cs="Arial"/>
          <w:sz w:val="24"/>
          <w:szCs w:val="24"/>
          <w:lang w:eastAsia="pl-PL"/>
        </w:rPr>
      </w:pPr>
    </w:p>
    <w:p w14:paraId="26EED7F6" w14:textId="77777777" w:rsidR="00235DF6" w:rsidRDefault="00235DF6" w:rsidP="00235DF6">
      <w:pPr>
        <w:spacing w:after="240" w:line="240" w:lineRule="auto"/>
        <w:rPr>
          <w:rFonts w:ascii="Arial" w:eastAsia="Times New Roman" w:hAnsi="Arial" w:cs="Arial"/>
          <w:sz w:val="24"/>
          <w:szCs w:val="24"/>
          <w:lang w:eastAsia="pl-PL"/>
        </w:rPr>
      </w:pPr>
    </w:p>
    <w:p w14:paraId="64E942B9" w14:textId="340E62BE"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63B1B2E2" w14:textId="7EF137F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1C195D6E" wp14:editId="5506BF99">
            <wp:extent cx="5734050" cy="31718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332875B9" w14:textId="77777777" w:rsidR="00235DF6" w:rsidRPr="00235DF6" w:rsidRDefault="00235DF6" w:rsidP="00235DF6">
      <w:pPr>
        <w:spacing w:after="0" w:line="240" w:lineRule="auto"/>
        <w:rPr>
          <w:rFonts w:ascii="Arial" w:eastAsia="Times New Roman" w:hAnsi="Arial" w:cs="Arial"/>
          <w:sz w:val="24"/>
          <w:szCs w:val="24"/>
          <w:lang w:eastAsia="pl-PL"/>
        </w:rPr>
      </w:pPr>
    </w:p>
    <w:p w14:paraId="5144933B" w14:textId="2930BA8E" w:rsid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12.</w:t>
      </w:r>
      <w:r w:rsidRPr="00235DF6">
        <w:rPr>
          <w:rFonts w:ascii="Arial" w:eastAsia="Times New Roman" w:hAnsi="Arial" w:cs="Arial"/>
          <w:color w:val="000000"/>
          <w:sz w:val="24"/>
          <w:szCs w:val="24"/>
          <w:lang w:eastAsia="pl-PL"/>
        </w:rPr>
        <w:t xml:space="preserve"> Średnie oceny poziomu stresu związanego prezentacjami przedstawianymi na forum grupy w trakcie wideokonferencji. Skala ocen: -2 „w ogóle nie były stresujące”, -1 „raczej nie były stresujące”, 0 „trudno powiedzieć”, 1 „były raczej stresujące”, 2 „były bardzo stresujące”. Widełki na wykresie oznaczają błąd standardowy średniej.</w:t>
      </w:r>
    </w:p>
    <w:p w14:paraId="4D7196A7" w14:textId="77777777" w:rsidR="00AF35FB" w:rsidRPr="00235DF6" w:rsidRDefault="00AF35FB" w:rsidP="00235DF6">
      <w:pPr>
        <w:spacing w:after="0" w:line="240" w:lineRule="auto"/>
        <w:jc w:val="both"/>
        <w:rPr>
          <w:rFonts w:ascii="Arial" w:eastAsia="Times New Roman" w:hAnsi="Arial" w:cs="Arial"/>
          <w:sz w:val="24"/>
          <w:szCs w:val="24"/>
          <w:lang w:eastAsia="pl-PL"/>
        </w:rPr>
      </w:pPr>
    </w:p>
    <w:p w14:paraId="4ED122D6" w14:textId="644BC10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14220015" wp14:editId="0733ABA0">
            <wp:extent cx="5734050" cy="3171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83254D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13.</w:t>
      </w:r>
      <w:r w:rsidRPr="00235DF6">
        <w:rPr>
          <w:rFonts w:ascii="Arial" w:eastAsia="Times New Roman" w:hAnsi="Arial" w:cs="Arial"/>
          <w:color w:val="000000"/>
          <w:sz w:val="24"/>
          <w:szCs w:val="24"/>
          <w:lang w:eastAsia="pl-PL"/>
        </w:rPr>
        <w:t xml:space="preserve"> Średnie oceny poziomu odczuwanego stresu w związku z zaliczeniami ustnymi przeprowadzanymi w trybie wideokonferencji. Skala ocen: -2 „w ogóle nie były stresujące”, -1 „raczej nie były stresujące”, 0 „trudno powiedzieć”, 1 „były raczej stresujące”, 2 „były bardzo stresujące”. Widełki na wykresie oznaczają błąd standardowy średniej.</w:t>
      </w:r>
    </w:p>
    <w:p w14:paraId="4DEE9C6B" w14:textId="77777777" w:rsidR="00235DF6" w:rsidRPr="00235DF6" w:rsidRDefault="00235DF6" w:rsidP="00235DF6">
      <w:pPr>
        <w:spacing w:after="240" w:line="240" w:lineRule="auto"/>
        <w:rPr>
          <w:rFonts w:ascii="Arial" w:eastAsia="Times New Roman" w:hAnsi="Arial" w:cs="Arial"/>
          <w:sz w:val="24"/>
          <w:szCs w:val="24"/>
          <w:lang w:eastAsia="pl-PL"/>
        </w:rPr>
      </w:pPr>
    </w:p>
    <w:p w14:paraId="55F3918E" w14:textId="037B28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7769E52A" wp14:editId="22932EE7">
            <wp:extent cx="5734050" cy="31718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C23E8DF" w14:textId="2B461071"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14</w:t>
      </w:r>
      <w:r w:rsidRPr="00235DF6">
        <w:rPr>
          <w:rFonts w:ascii="Arial" w:eastAsia="Times New Roman" w:hAnsi="Arial" w:cs="Arial"/>
          <w:color w:val="000000"/>
          <w:sz w:val="24"/>
          <w:szCs w:val="24"/>
          <w:lang w:eastAsia="pl-PL"/>
        </w:rPr>
        <w:t>. Średnie oceny poziomu odczuwanego stresu w związku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wypracowaniami, esejami pisanymi na czas w ramach zaliczenia przedmiotu. Skala ocen: -2 „w ogóle nie były stresujące”, -1 „raczej nie były stresujące”, 0 „trudno powiedzieć”, 1 „były raczej stresujące”, 2 „były bardzo stresujące”. Widełki na wykresie oznaczają błąd standardowy średniej.</w:t>
      </w:r>
    </w:p>
    <w:p w14:paraId="08A9AF9F" w14:textId="77777777" w:rsidR="00235DF6" w:rsidRPr="00235DF6" w:rsidRDefault="00235DF6" w:rsidP="00235DF6">
      <w:pPr>
        <w:spacing w:after="0" w:line="240" w:lineRule="auto"/>
        <w:rPr>
          <w:rFonts w:ascii="Arial" w:eastAsia="Times New Roman" w:hAnsi="Arial" w:cs="Arial"/>
          <w:sz w:val="24"/>
          <w:szCs w:val="24"/>
          <w:lang w:eastAsia="pl-PL"/>
        </w:rPr>
      </w:pPr>
    </w:p>
    <w:p w14:paraId="043F583B" w14:textId="77777777" w:rsidR="00235DF6" w:rsidRPr="00235DF6" w:rsidRDefault="00235DF6" w:rsidP="00235DF6">
      <w:pPr>
        <w:spacing w:after="0" w:line="240" w:lineRule="auto"/>
        <w:jc w:val="both"/>
        <w:rPr>
          <w:rFonts w:ascii="Arial" w:eastAsia="Times New Roman" w:hAnsi="Arial" w:cs="Arial"/>
          <w:b/>
          <w:bCs/>
          <w:color w:val="000000"/>
          <w:sz w:val="24"/>
          <w:szCs w:val="24"/>
          <w:lang w:eastAsia="pl-PL"/>
        </w:rPr>
      </w:pPr>
    </w:p>
    <w:p w14:paraId="70C31CEF" w14:textId="1C625ABA"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Potencjalne formy wsparcia nauki zdalnej</w:t>
      </w:r>
    </w:p>
    <w:p w14:paraId="0839E32E" w14:textId="3448D730"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Respondenci byli proszeni o ocenę na skali (od „zupełnie niepomocne” do „bardzo pomocne”) wymienionych w ankiecie potencjalnych form wsparcia studentów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zdalnej nauce. Grupy osób z formalną diagnozą dysleksji oraz z samodzielną diagnozą dysleksji częściej niż osoby typowo czytające wskazywały na kurs efektywnych sposobów uczenia się lub konsultacje ze specjalistami od trudności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uczeniu się jako na potencjalnie przydatne formy wsparcia nauki zdalnej (wykres 15.). Natomiast wydłużenie terminu oddawania prac domowych było istotnie częściej wskazywane jako pomocne w grupie z samodzielną diagnozą dysleksji niż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pozostałych grupach: osób z formalną diagnozą dysleksji i osób typowo czytających (wykres 16). </w:t>
      </w:r>
    </w:p>
    <w:p w14:paraId="2FCD13FC" w14:textId="1EAF0166"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Ankietowani ze wszystkich trzech grup w podobny sposób ocenili przydatność takich form wsparcia jak: </w:t>
      </w:r>
    </w:p>
    <w:p w14:paraId="69846DD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wydłużony czas na egzaminach i zaliczeniach;</w:t>
      </w:r>
    </w:p>
    <w:p w14:paraId="18766291" w14:textId="043597FF"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zmiana formy zaliczenia przedmiotu (np. prace domowe zamiast testu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platformie);</w:t>
      </w:r>
    </w:p>
    <w:p w14:paraId="10B0148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zwiększona liczba godzin konsultacji z lektorem języka obcego.</w:t>
      </w:r>
    </w:p>
    <w:p w14:paraId="4E0FDC80" w14:textId="77777777" w:rsidR="00235DF6" w:rsidRPr="00235DF6" w:rsidRDefault="00235DF6" w:rsidP="00235DF6">
      <w:pPr>
        <w:spacing w:after="0" w:line="240" w:lineRule="auto"/>
        <w:rPr>
          <w:rFonts w:ascii="Arial" w:eastAsia="Times New Roman" w:hAnsi="Arial" w:cs="Arial"/>
          <w:sz w:val="24"/>
          <w:szCs w:val="24"/>
          <w:lang w:eastAsia="pl-PL"/>
        </w:rPr>
      </w:pPr>
    </w:p>
    <w:p w14:paraId="518AFE74" w14:textId="752A8E22"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34897DA9" wp14:editId="6095FD7D">
            <wp:extent cx="5734050" cy="31718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C508DD1"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15.</w:t>
      </w:r>
      <w:r w:rsidRPr="00235DF6">
        <w:rPr>
          <w:rFonts w:ascii="Arial" w:eastAsia="Times New Roman" w:hAnsi="Arial" w:cs="Arial"/>
          <w:color w:val="000000"/>
          <w:sz w:val="24"/>
          <w:szCs w:val="24"/>
          <w:lang w:eastAsia="pl-PL"/>
        </w:rPr>
        <w:t xml:space="preserve"> Średnie oceny przydatności kursów efektywnych sposobów uczenia się/konsultacji ze specjalistami od trudności w nauce. Skala ocen: -2 „w ogóle niepomocne”, -1 „raczej niepomocne”, 1 „raczej pomocne”, 2 „bardzo pomocne”. Widełki na wykresie oznaczają błąd standardowy średniej.</w:t>
      </w:r>
    </w:p>
    <w:p w14:paraId="195D776D" w14:textId="77777777" w:rsidR="00235DF6" w:rsidRPr="00235DF6" w:rsidRDefault="00235DF6" w:rsidP="00235DF6">
      <w:pPr>
        <w:spacing w:after="0" w:line="240" w:lineRule="auto"/>
        <w:rPr>
          <w:rFonts w:ascii="Arial" w:eastAsia="Times New Roman" w:hAnsi="Arial" w:cs="Arial"/>
          <w:sz w:val="24"/>
          <w:szCs w:val="24"/>
          <w:lang w:eastAsia="pl-PL"/>
        </w:rPr>
      </w:pPr>
    </w:p>
    <w:p w14:paraId="31BB44AD" w14:textId="2E87711F"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19A68A8C" wp14:editId="33C52E21">
            <wp:extent cx="5734050" cy="3171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8465D89"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16.</w:t>
      </w:r>
      <w:r w:rsidRPr="00235DF6">
        <w:rPr>
          <w:rFonts w:ascii="Arial" w:eastAsia="Times New Roman" w:hAnsi="Arial" w:cs="Arial"/>
          <w:color w:val="000000"/>
          <w:sz w:val="24"/>
          <w:szCs w:val="24"/>
          <w:lang w:eastAsia="pl-PL"/>
        </w:rPr>
        <w:t xml:space="preserve"> Średnie oceny przydatności wydłużenia terminu oddawania prac domowych. Skala ocen: -2 „w ogóle niepomocne”, -1 „raczej niepomocne”, 1 „raczej pomocne”, 2 „bardzo pomocne”. Widełki na wykresie oznaczają błąd standardowy średniej.</w:t>
      </w:r>
    </w:p>
    <w:p w14:paraId="3E7F55EB" w14:textId="33DFB00A" w:rsidR="00235DF6" w:rsidRDefault="00235DF6" w:rsidP="00235DF6">
      <w:pPr>
        <w:spacing w:after="240" w:line="240" w:lineRule="auto"/>
        <w:rPr>
          <w:rFonts w:ascii="Arial" w:eastAsia="Times New Roman" w:hAnsi="Arial" w:cs="Arial"/>
          <w:sz w:val="24"/>
          <w:szCs w:val="24"/>
          <w:lang w:eastAsia="pl-PL"/>
        </w:rPr>
      </w:pPr>
    </w:p>
    <w:p w14:paraId="277147E6" w14:textId="3FE01B58" w:rsidR="00235DF6" w:rsidRDefault="00235DF6" w:rsidP="00235DF6">
      <w:pPr>
        <w:spacing w:after="240" w:line="240" w:lineRule="auto"/>
        <w:rPr>
          <w:rFonts w:ascii="Arial" w:eastAsia="Times New Roman" w:hAnsi="Arial" w:cs="Arial"/>
          <w:sz w:val="24"/>
          <w:szCs w:val="24"/>
          <w:lang w:eastAsia="pl-PL"/>
        </w:rPr>
      </w:pPr>
    </w:p>
    <w:p w14:paraId="1385E22D" w14:textId="77777777" w:rsidR="00235DF6" w:rsidRPr="00235DF6" w:rsidRDefault="00235DF6" w:rsidP="00235DF6">
      <w:pPr>
        <w:spacing w:after="240" w:line="240" w:lineRule="auto"/>
        <w:rPr>
          <w:rFonts w:ascii="Arial" w:eastAsia="Times New Roman" w:hAnsi="Arial" w:cs="Arial"/>
          <w:sz w:val="24"/>
          <w:szCs w:val="24"/>
          <w:lang w:eastAsia="pl-PL"/>
        </w:rPr>
      </w:pPr>
    </w:p>
    <w:p w14:paraId="360FE9A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Podsumowanie</w:t>
      </w:r>
    </w:p>
    <w:p w14:paraId="1B842209" w14:textId="56FADAD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Nauczanie zdalne obowiązujące w semestrze letnim roku akademickiego 2019/2020 zostało wprowadzone na UW od połowy marca 2020 roku. Zastosowane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czasie narzędzia informatyczne i formy pracy miały umożliwić kontynuowanie nauki przerwanej wybuchem epidemii. W tym celu wykorzystano nie tylko istniejącą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znaną infrastrukturę informatyczną USOS oraz platformę e-learningową Kampus, ale także w większym niż dotychczas stopniu posłużono się produktami pakietu </w:t>
      </w:r>
      <w:r w:rsidRPr="00235DF6">
        <w:rPr>
          <w:rFonts w:ascii="Arial" w:eastAsia="Times New Roman" w:hAnsi="Arial" w:cs="Arial"/>
          <w:i/>
          <w:iCs/>
          <w:color w:val="000000"/>
          <w:sz w:val="24"/>
          <w:szCs w:val="24"/>
          <w:lang w:eastAsia="pl-PL"/>
        </w:rPr>
        <w:t>G Suite</w:t>
      </w:r>
      <w:r w:rsidRPr="00235DF6">
        <w:rPr>
          <w:rFonts w:ascii="Arial" w:eastAsia="Times New Roman" w:hAnsi="Arial" w:cs="Arial"/>
          <w:color w:val="000000"/>
          <w:sz w:val="24"/>
          <w:szCs w:val="24"/>
          <w:lang w:eastAsia="pl-PL"/>
        </w:rPr>
        <w:t xml:space="preserve"> dla Szkół i Uczelni. Nagła zmiana formy nauczania ze stacjonarnej na zdalną objęła wszystkich studentów UW. Z badań ankietowych przeprowadzonych pod koniec lipca 2020 roku wynika, że e-nauczanie zostało ocenione jako większe wyzwanie przez osoby ze specyficznymi trudnościami w uczeniu się i osoby z różnorodnymi zaburzeniami funkcjonowania. Różnice międzygrupowe uwidaczniały się w każdym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badanych obszarów: warunków mieszkaniowych i możliwości technicznych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realizowania zdalnej nauki, organizacji zdalnego procesu dydaktycznego, formy zdalnej pracy i wykorzystywanych narzędzi oraz potencjalnych form wsparcia.</w:t>
      </w:r>
    </w:p>
    <w:p w14:paraId="371A6FBD" w14:textId="7777777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Analiza odpowiedzi pokazała, że w porównaniu z osobami typowo czytającymi osoby, które rozpoznają u siebie trudności o typie dysleksji, i osoby ze zdiagnozowaną dysleksją:</w:t>
      </w:r>
    </w:p>
    <w:p w14:paraId="0C3D6F8B"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deklarowały wyższy poziom odczuwanego stresu związany z obostrzeniami epidemicznymi. </w:t>
      </w:r>
    </w:p>
    <w:p w14:paraId="2BECDEB8" w14:textId="4EB86FB0"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wskazywały, że trudności w zdalnej nauce związane są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nieobeznaniem z nowymi technologiami;</w:t>
      </w:r>
    </w:p>
    <w:p w14:paraId="39290DAA"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uznały za trudniejsze: </w:t>
      </w:r>
    </w:p>
    <w:p w14:paraId="76FDFDE8"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zdalną formę zaliczenia (w porównaniu z formą stacjonarną);</w:t>
      </w:r>
    </w:p>
    <w:p w14:paraId="0902B49B"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w:t>
      </w:r>
    </w:p>
    <w:p w14:paraId="47D75395"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podczas zdalnej nauki;</w:t>
      </w:r>
    </w:p>
    <w:p w14:paraId="2AAE5A97"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oceniły poziom odczuwanego stresu związanego z: </w:t>
      </w:r>
    </w:p>
    <w:p w14:paraId="7DD61610" w14:textId="77777777" w:rsidR="00235DF6" w:rsidRPr="00235DF6" w:rsidRDefault="00235DF6" w:rsidP="00235DF6">
      <w:pPr>
        <w:numPr>
          <w:ilvl w:val="1"/>
          <w:numId w:val="1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19196165" w14:textId="77777777" w:rsidR="00235DF6" w:rsidRPr="00235DF6" w:rsidRDefault="00235DF6" w:rsidP="00235DF6">
      <w:pPr>
        <w:numPr>
          <w:ilvl w:val="1"/>
          <w:numId w:val="17"/>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7DBA23A6" w14:textId="17E9DA34" w:rsidR="00235DF6" w:rsidRPr="00235DF6" w:rsidRDefault="00235DF6" w:rsidP="00235DF6">
      <w:pPr>
        <w:numPr>
          <w:ilvl w:val="0"/>
          <w:numId w:val="1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wskazały jako potencjalnie przydatną formę wsparcia nauki zdalnej uczestnictwo w kursie efektywnych sposobów uczenia się i/lub konsultacje ze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specjalistami od trudności w nauce.</w:t>
      </w:r>
    </w:p>
    <w:p w14:paraId="68F68DD7" w14:textId="77777777" w:rsidR="00235DF6" w:rsidRPr="00235DF6" w:rsidRDefault="00235DF6" w:rsidP="00235DF6">
      <w:pPr>
        <w:spacing w:before="240" w:after="24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lub/i osób ze zdiagnozowaną dysleksją respondenci z samodzielną diagnozą dysleksji:</w:t>
      </w:r>
    </w:p>
    <w:p w14:paraId="55AC58BB" w14:textId="77777777" w:rsidR="00235DF6" w:rsidRPr="00235DF6" w:rsidRDefault="00235DF6" w:rsidP="00235DF6">
      <w:pPr>
        <w:numPr>
          <w:ilvl w:val="0"/>
          <w:numId w:val="19"/>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niżej ocenili dogodność swoich warunków do studiowania, biorąc pod uwagę: </w:t>
      </w:r>
    </w:p>
    <w:p w14:paraId="4FD4DFC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 mieszkania, </w:t>
      </w:r>
    </w:p>
    <w:p w14:paraId="349A2AC4"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liczbę współmieszkańców,</w:t>
      </w:r>
    </w:p>
    <w:p w14:paraId="196767A3"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własnego komputera,</w:t>
      </w:r>
    </w:p>
    <w:p w14:paraId="2EFFA82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Internetu;</w:t>
      </w:r>
    </w:p>
    <w:p w14:paraId="20E325D5" w14:textId="6533C96A"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że nauka zdalna w większym stopniu niż stacjonarna wymagała od</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nich korzystania z Internetu, komputera i programów biurowych (Word, PowerPoint, Excel, SPSS itd.), z których wcześniej można było używać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w:t>
      </w:r>
    </w:p>
    <w:p w14:paraId="452F164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odczuwali większą presję czasu podczas wykonywania zadań online; </w:t>
      </w:r>
    </w:p>
    <w:p w14:paraId="3A774B1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w mniejszym stopniu odczuwali, że zdalna nauka pozwalała im lepiej dostosować sposób pracy do własnych potrzeb, dając możliwość wielokrotnego odtworzenia nagrania audio lub wideo;</w:t>
      </w:r>
    </w:p>
    <w:p w14:paraId="0D89416C" w14:textId="653BDE87" w:rsidR="00235DF6" w:rsidRPr="00235DF6" w:rsidRDefault="00235DF6" w:rsidP="00235DF6">
      <w:pPr>
        <w:numPr>
          <w:ilvl w:val="0"/>
          <w:numId w:val="2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odczuli, że nauka zdalna wymagała więcej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nauka w trybie stacjonarnym;</w:t>
      </w:r>
    </w:p>
    <w:p w14:paraId="659F9450" w14:textId="77777777" w:rsidR="00235DF6" w:rsidRPr="00235DF6" w:rsidRDefault="00235DF6" w:rsidP="00235DF6">
      <w:pPr>
        <w:numPr>
          <w:ilvl w:val="0"/>
          <w:numId w:val="2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na wyższy poziom odczuwanego stresu w związku z: </w:t>
      </w:r>
    </w:p>
    <w:p w14:paraId="3609B73A" w14:textId="77777777" w:rsidR="00235DF6" w:rsidRPr="00235DF6" w:rsidRDefault="00235DF6" w:rsidP="00235DF6">
      <w:pPr>
        <w:numPr>
          <w:ilvl w:val="1"/>
          <w:numId w:val="2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2DC6F0B5" w14:textId="77777777" w:rsidR="00235DF6" w:rsidRPr="00235DF6" w:rsidRDefault="00235DF6" w:rsidP="00235DF6">
      <w:pPr>
        <w:numPr>
          <w:ilvl w:val="1"/>
          <w:numId w:val="2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440D11EA"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zaliczeniami ustnymi przeprowadzanymi w trybie wideokonferencji;</w:t>
      </w:r>
    </w:p>
    <w:p w14:paraId="447526C2"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wypracowaniami, esejami pisanymi na czas w ramach zaliczenia przedmiotu; </w:t>
      </w:r>
    </w:p>
    <w:p w14:paraId="5D5CB7C4"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wskazywali na wydłużenie terminu oddawania prac domowych jako potencjalną formę wsparcia nauki zdalnej.</w:t>
      </w:r>
    </w:p>
    <w:p w14:paraId="4902CB7F" w14:textId="77777777" w:rsidR="00235DF6" w:rsidRPr="00235DF6" w:rsidRDefault="00235DF6" w:rsidP="00235DF6">
      <w:pPr>
        <w:spacing w:after="0" w:line="240" w:lineRule="auto"/>
        <w:rPr>
          <w:rFonts w:ascii="Arial" w:eastAsia="Times New Roman" w:hAnsi="Arial" w:cs="Arial"/>
          <w:sz w:val="24"/>
          <w:szCs w:val="24"/>
          <w:lang w:eastAsia="pl-PL"/>
        </w:rPr>
      </w:pPr>
    </w:p>
    <w:p w14:paraId="0B45933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respondentów nie różniły się w ocenie:</w:t>
      </w:r>
    </w:p>
    <w:p w14:paraId="072C804B"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utrudnieniem dla nauki zdalnej były bodźce rozpraszające uwagę, tj. portale społecznościowe, poczta, serwisy informacyjne;</w:t>
      </w:r>
    </w:p>
    <w:p w14:paraId="51426748" w14:textId="34ACCCC0"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ułatwieniem było posiadanie materiałów do nauki zdalnej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jednym miejscu bez potrzeby szukania ich w bibliotece;</w:t>
      </w:r>
    </w:p>
    <w:p w14:paraId="7B810B2C" w14:textId="77777777" w:rsidR="00235DF6" w:rsidRPr="00235DF6" w:rsidRDefault="00235DF6" w:rsidP="00235DF6">
      <w:pPr>
        <w:numPr>
          <w:ilvl w:val="0"/>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stresu związanego z udziałem w:</w:t>
      </w:r>
    </w:p>
    <w:p w14:paraId="209684E8"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zdalnie przeprowadzanych sprawdzianach z krótkimi pytaniami otwartymi,</w:t>
      </w:r>
    </w:p>
    <w:p w14:paraId="49757DBD"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pytaniami zamkniętymi na platformie e-learningowej,</w:t>
      </w:r>
    </w:p>
    <w:p w14:paraId="3B65A41C"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na platformie e-learningowej z ograniczeniem czasowym na ich wykonanie,</w:t>
      </w:r>
    </w:p>
    <w:p w14:paraId="4555A7F4"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brakiem możliwości powrotu do uprzednio udzielonej odpowiedzi,</w:t>
      </w:r>
    </w:p>
    <w:p w14:paraId="0219170F"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punktami ujemnymi;</w:t>
      </w:r>
    </w:p>
    <w:p w14:paraId="17963EA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EDE927"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wyboru zagadnień i kontrolowania czasu poświęconego na naukę;</w:t>
      </w:r>
    </w:p>
    <w:p w14:paraId="37166A4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71F77829" w14:textId="77777777" w:rsidR="00235DF6" w:rsidRPr="00235DF6" w:rsidRDefault="00235DF6" w:rsidP="00235DF6">
      <w:pPr>
        <w:spacing w:after="0" w:line="240" w:lineRule="auto"/>
        <w:rPr>
          <w:rFonts w:ascii="Arial" w:eastAsia="Times New Roman" w:hAnsi="Arial" w:cs="Arial"/>
          <w:sz w:val="24"/>
          <w:szCs w:val="24"/>
          <w:lang w:eastAsia="pl-PL"/>
        </w:rPr>
      </w:pPr>
    </w:p>
    <w:p w14:paraId="3DC9A5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Rekomendacje </w:t>
      </w:r>
    </w:p>
    <w:p w14:paraId="7BD902E6" w14:textId="7F2A326A"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stresu związany zarówno z samą sytuacją epidemiczną,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aktywnościami realizowanymi w ramach nauczania zdalnego odczuwany w grupach osób ze zdiagnozowaną dysleksją oraz z samodzielnie zdiagnozowaną dysleksją względem grupy osób typowo czytających, wskazuje na znaczenie działań mających na celu obniżenie stresu i dyskomfortu podczas nauki zdalnej. W tej funkcji mogą sprawdzić się nie tylko kursy i szkolenia z zarządzania stresem, lecz także zajęcia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podnoszące poziom umiejętności w zakresie korzystania z nowych narzędzi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programów (w ramach rozwijania tzw. kompetencji cyfrowej; Ministerstwo Cyfryzacji, b/d). Subiektywnie oceniany jako niski poziom własnej skuteczności i zaradności, poczucie nieradzenia sobie z wymaganiami stawianymi w trakcie studiów, poczucie braku wsparcia i możliwości uzyskania pomocy ze strony wykładowcy czy nawet innych studentów, a także wrażenie braku odpowiednich kompetencji informatycznych i możliwości technicznych wpływa negatywnie na proces nauki i jej efektywność. </w:t>
      </w:r>
    </w:p>
    <w:p w14:paraId="4F511AE7" w14:textId="16AFA1FD"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Według respondentów ze wszystkich trzech grup badanych dydaktyka prowadzona zdalnie pozwala na lepsze dopasowanie tempa i ilości wiedzy przekazywanej naraz do potrzeb uczących się, chociażby dzięki możliwości wielokrotnego odtwarzania materiałów audio i wideo oraz rozłożenia nauki w czasie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robienia przerw. Należy zatem rozważyć możliwość prezentacji materiałów audio oraz wideo nie tylko w czasie trwania wykładu czy ćwiczeń, lecz także ich udostępnienia po zajęciach, by studenci mogli je ponownie obejrzeć i/ lub odsłuchać. Zwłaszcza w wypadku filmików lub plików dźwiękowych ukazujących wiedzę z jakiegoś zakresu i zawierających komentarz w języku obcym (czasem bardzo dobre materiały dydaktyczne nie mają swojej polskiej wersji językowej) niezwykle pomocne w nauce może okazać się dołączenie do nich transkrypcji lub choćby mini-słowniczka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tłumaczeniem trudnych terminów.</w:t>
      </w:r>
    </w:p>
    <w:p w14:paraId="7581F8BD" w14:textId="375E0BBF"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Podczas nauki prowadzonej zdalnie zmieniony jest sposób interakcji nadawcy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odbiorcy. Nawet jeśli zajęcia prowadzone są w trybie wideokonferencji, trudno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swobodne prezentowanie zarówno </w:t>
      </w:r>
      <w:proofErr w:type="spellStart"/>
      <w:r w:rsidRPr="00235DF6">
        <w:rPr>
          <w:rFonts w:ascii="Arial" w:eastAsia="Times New Roman" w:hAnsi="Arial" w:cs="Arial"/>
          <w:color w:val="000000"/>
          <w:sz w:val="24"/>
          <w:szCs w:val="24"/>
          <w:lang w:eastAsia="pl-PL"/>
        </w:rPr>
        <w:t>zachowań</w:t>
      </w:r>
      <w:proofErr w:type="spellEnd"/>
      <w:r w:rsidRPr="00235DF6">
        <w:rPr>
          <w:rFonts w:ascii="Arial" w:eastAsia="Times New Roman" w:hAnsi="Arial" w:cs="Arial"/>
          <w:color w:val="000000"/>
          <w:sz w:val="24"/>
          <w:szCs w:val="24"/>
          <w:lang w:eastAsia="pl-PL"/>
        </w:rPr>
        <w:t xml:space="preserve"> werbalnych (zależne od jakości transmisji audio), jak i niewerbalnych (gesty, mimika) przez prowadzącego. Ograniczona jest też możliwość obserwowania tych </w:t>
      </w:r>
      <w:proofErr w:type="spellStart"/>
      <w:r w:rsidRPr="00235DF6">
        <w:rPr>
          <w:rFonts w:ascii="Arial" w:eastAsia="Times New Roman" w:hAnsi="Arial" w:cs="Arial"/>
          <w:color w:val="000000"/>
          <w:sz w:val="24"/>
          <w:szCs w:val="24"/>
          <w:lang w:eastAsia="pl-PL"/>
        </w:rPr>
        <w:t>zachowań</w:t>
      </w:r>
      <w:proofErr w:type="spellEnd"/>
      <w:r w:rsidRPr="00235DF6">
        <w:rPr>
          <w:rFonts w:ascii="Arial" w:eastAsia="Times New Roman" w:hAnsi="Arial" w:cs="Arial"/>
          <w:color w:val="000000"/>
          <w:sz w:val="24"/>
          <w:szCs w:val="24"/>
          <w:lang w:eastAsia="pl-PL"/>
        </w:rPr>
        <w:t xml:space="preserve"> przez uczestników spotkania, szczególnie na stosunkowo niewielkim ekranie komputera, gdy śledzi się osobno wyświetlaną prezentację i osobę prowadzącą, a jakość transmisji jest na tyle niska, że obraz jest rozmazany i przesunięty w czasie względem dźwięku. Osoby mające trudność z szybkim odczytaniem tekstu na slajdach (tak jak na przykład osoby z dysleksją czy osoby z niepełnosprawnością wzrokową) mogą całą swoją uwagę ukierunkować na słuchanie wykładu, który w sytuacji nauczania zdalnego staje się uboższy w sile przekazu. Należy również pamiętać, że osoby z dysleksją często mają wolniejsze tempo czytania niż osoby typowo czytające, częściej też powracają do już przeczytanego fragmentu tekstu oraz odczuwają wysiłek i napięcie (ból głowy i oczu) przy dłuższym czytaniu. Tymczasem respondenci ze wszystkich badanych grup wskazywali, że podczas nauki zdalnej mieli więcej zadań wymagających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podczas nauki w trybie stacjonarnym. Planując zajęcia, warto zatem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każdorazowo rozważyć sposób przekazywania treści (ile procent materiału stanowi przekaz mówiony, a ile – pisany), w jaki sposób wspierane jest rozumienie przekazu za pomocą innych, pozawerbalnych środków (zdjęcia, wykresy, grafy, filmy, prezentacje 3D, animacje, pokazy w czasie rzeczywistym itp.) oraz w jaki sposób weryfikowana będzie wiedza studentów.</w:t>
      </w:r>
    </w:p>
    <w:p w14:paraId="16306F49" w14:textId="76FA46C6"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Duże wyzwanie dla osób z trudnościami w uczeniu się stanowi śledzenie,  kontrolowanie oraz wykonywanie kilku czynności jednocześnie, np. sporządzanie notatek w trakcie wykładu, na którym prowadzący pokazuje i komentuje kolejne slajdy prezentacji, robiąc przy okazji dygresję i przełączając się na inną prezentację. Aby zapewnić bardziej efektywne uczestnictwo studentów w zdalnych zajęciach prowadzonych synchronicznie, pomocne może okazać się przedstawienie struktury wykładu (jakie zagadnienia będą omawiane), dołączenie slajdu podsumowującego prezentowane zagadnienia, a także robienie krótkich przerw lub dbanie o różnorodność w sposobach zaangażowania studentów w czasie zajęć (np. po 30 minutach wykładu następuje prezentacja odpowiednio dobranego filmu ilustrującego dane zagadnienie, wprowadzenie ćwiczenia sprawdzającego wykorzystanie zdobytej wiedzy pod koniec zajęć itd.). Zwiększenie udziału studentów w przebieg spotkań pozwoliłoby też na zwiększenie poziomu uwagi, a jednocześnie zmniejszenie zaangażowania uczących się w inne, dodatkowe aktywności niezwiązane z zajęciami (np. sprawdzanie poczty, serwisów informacyjnych).</w:t>
      </w:r>
    </w:p>
    <w:p w14:paraId="5B2A0A7A" w14:textId="01328279"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Wyniki ankiety wskazują, że respondenci należący do trzech grup w odmienny sposób oceniali poziom subiektywnie doświadczanego stresu związanego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uczestnictwem w pewnych formach nauczania zdalnego. Natężenie odczuwanego dyskomfortu wynikającego z presji czasu i świadomości oceny przez innych podczas wystąpień na forum grupy było szczególnie odczuwane wśród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współwystępującymi zaburzeniami lękowymi. W takiej sytuacji prowadzący mogą zaproponować studentom wcześniejsze przygotowanie prezentacji z dołączonymi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slajdów komentarzami głosowymi, która zostanie następnie odtworzona podczas wspólnego spotkania. Presja czasu jest natomiast wymieniana jako jeden z czynników mogących wpłynąć na obniżenie poziomu wykonania zadania przez osoby ze specyficznymi trudnościami w uczeniu się, nawet jeżeli trudności te w dużym stopniu lub częściowo zostały wcześniej skompensowane w wyniku oddziaływań </w:t>
      </w:r>
      <w:proofErr w:type="spellStart"/>
      <w:r w:rsidRPr="00235DF6">
        <w:rPr>
          <w:rFonts w:ascii="Arial" w:eastAsia="Times New Roman" w:hAnsi="Arial" w:cs="Arial"/>
          <w:color w:val="000000"/>
          <w:sz w:val="24"/>
          <w:szCs w:val="24"/>
          <w:lang w:eastAsia="pl-PL"/>
        </w:rPr>
        <w:t>terpeutycznych</w:t>
      </w:r>
      <w:proofErr w:type="spellEnd"/>
      <w:r w:rsidRPr="00235DF6">
        <w:rPr>
          <w:rFonts w:ascii="Arial" w:eastAsia="Times New Roman" w:hAnsi="Arial" w:cs="Arial"/>
          <w:color w:val="000000"/>
          <w:sz w:val="24"/>
          <w:szCs w:val="24"/>
          <w:lang w:eastAsia="pl-PL"/>
        </w:rPr>
        <w:t>. Warto zatem rozważyć możliwość uwzględniania dokonywania oceny postępów w nauce na podstawie tzw. oceny ciągłej, np. na podstawie wykonania zadań czy testów bez nałożonego krótkiego limitu czasu, które byłyby wykonywane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trakcie semestru, oraz wyniku zaliczenia końcowego, które może, ale nie musi, być wykonywane pod presją czasu.</w:t>
      </w:r>
    </w:p>
    <w:p w14:paraId="76E0C4AE" w14:textId="1B84096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trudności z nauką zdalną raportowany w grupie respondentów bez formalnej diagnozy dysleksji, ale rozpoznających u siebie trudności z tego zakresu, zwraca uwagę na potrzebę wielostronnego wsparcia także tych osób. Potrzebną pomoc i informacje można uzyskać na Uniwersytecie Warszawskim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Centrum Pomocy Psychologicznej i w Biurze ds. Osób Niepełnosprawnych, które oferuje konsultacje ze specjalistami nie tylko osobom mającym orzeczenie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niepełnosprawności. Dostrzeżenie przez wykładowcę problemów, z jakimi borykają się studenci mający diagnozę dysleksji, jak i studenci doświadczający trudności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charakterze dysleksji (bez formalnej diagnozy), może stanowić pierwszy krok na drodze do podjęcia działań wspomagających proces ich nauki w czasie studiów. Jednym z założeń projektu „Uniwersytet dla wszystkich – Level </w:t>
      </w:r>
      <w:proofErr w:type="spellStart"/>
      <w:r w:rsidRPr="00235DF6">
        <w:rPr>
          <w:rFonts w:ascii="Arial" w:eastAsia="Times New Roman" w:hAnsi="Arial" w:cs="Arial"/>
          <w:color w:val="000000"/>
          <w:sz w:val="24"/>
          <w:szCs w:val="24"/>
          <w:lang w:eastAsia="pl-PL"/>
        </w:rPr>
        <w:t>up</w:t>
      </w:r>
      <w:proofErr w:type="spellEnd"/>
      <w:r w:rsidRPr="00235DF6">
        <w:rPr>
          <w:rFonts w:ascii="Arial" w:eastAsia="Times New Roman" w:hAnsi="Arial" w:cs="Arial"/>
          <w:color w:val="000000"/>
          <w:sz w:val="24"/>
          <w:szCs w:val="24"/>
          <w:lang w:eastAsia="pl-PL"/>
        </w:rPr>
        <w:t>” jest opracowanie modelu diagnozy funkcjonalnej dla studentów przejawiających specyficzne trudności w uczeniu się (tj. rozpoznania potrzeb i mocnych/słabych stron studentów w uczeniu się i funkcjonowaniu na uczelni). Przedstawione powyżej wyniki i rekomendacje posłużą do lepszego opracowania ww. modelu. Przeprowadzenie badań pilotażowych wypracowanego modelu planowane jest wiosną 2021 roku. Wtedy też studenci będą mieli możliwość wzięcia udziału w procesie rozpoznania ich mocnych i słabych stron w funkcjonowaniu i uczeniu się na studiach. W ramach projektu i poza nim Biuro ds. Osób Niepełnosprawnych UW ma w swojej ofercie wsparcia konsultacje dla studentów z trudnościami w uczeniu się. Możliwe jest spotkanie ze specjalistą oraz otrzymanie propozycji możliwych dostosowań procesu edukacyjnego.</w:t>
      </w:r>
    </w:p>
    <w:p w14:paraId="27E649AA" w14:textId="48B5B8A3"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Projekt „Uniwersytet dla wszystkich – Level </w:t>
      </w:r>
      <w:proofErr w:type="spellStart"/>
      <w:r w:rsidRPr="00235DF6">
        <w:rPr>
          <w:rFonts w:ascii="Arial" w:eastAsia="Times New Roman" w:hAnsi="Arial" w:cs="Arial"/>
          <w:color w:val="000000"/>
          <w:sz w:val="24"/>
          <w:szCs w:val="24"/>
          <w:lang w:eastAsia="pl-PL"/>
        </w:rPr>
        <w:t>up</w:t>
      </w:r>
      <w:proofErr w:type="spellEnd"/>
      <w:r w:rsidRPr="00235DF6">
        <w:rPr>
          <w:rFonts w:ascii="Arial" w:eastAsia="Times New Roman" w:hAnsi="Arial" w:cs="Arial"/>
          <w:color w:val="000000"/>
          <w:sz w:val="24"/>
          <w:szCs w:val="24"/>
          <w:lang w:eastAsia="pl-PL"/>
        </w:rPr>
        <w:t xml:space="preserve">” przewiduje dodatkowo wsparcie nauczycieli akademickich poprzez szkolenia im dedykowane, a dotyczące m.in. projektowania uniwersalnego zajęć dydaktycznych. Zachęcamy do zapoznania się ze stroną projektu: </w:t>
      </w:r>
      <w:hyperlink r:id="rId25" w:history="1">
        <w:r w:rsidRPr="00235DF6">
          <w:rPr>
            <w:rFonts w:ascii="Arial" w:eastAsia="Times New Roman" w:hAnsi="Arial" w:cs="Arial"/>
            <w:color w:val="000000"/>
            <w:sz w:val="24"/>
            <w:szCs w:val="24"/>
            <w:u w:val="single"/>
            <w:lang w:eastAsia="pl-PL"/>
          </w:rPr>
          <w:t>https://bon.uw.edu.pl/kategoria/uniwersytet-dla-wszystkich/</w:t>
        </w:r>
      </w:hyperlink>
      <w:r w:rsidRPr="00235DF6">
        <w:rPr>
          <w:rFonts w:ascii="Arial" w:eastAsia="Times New Roman" w:hAnsi="Arial" w:cs="Arial"/>
          <w:color w:val="000000"/>
          <w:sz w:val="24"/>
          <w:szCs w:val="24"/>
          <w:lang w:eastAsia="pl-PL"/>
        </w:rPr>
        <w:t>.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sprawie wdrożenia założeń projektu „Uniwersytet dla wszystkich” zapraszamy do kontaktu z Biurem ds. Osób Niepełnosprawnych pod adresem </w:t>
      </w:r>
      <w:hyperlink r:id="rId26" w:history="1">
        <w:r w:rsidRPr="00235DF6">
          <w:rPr>
            <w:rFonts w:ascii="Arial" w:eastAsia="Times New Roman" w:hAnsi="Arial" w:cs="Arial"/>
            <w:color w:val="000000"/>
            <w:sz w:val="24"/>
            <w:szCs w:val="24"/>
            <w:u w:val="single"/>
            <w:lang w:eastAsia="pl-PL"/>
          </w:rPr>
          <w:t>bon@uw.edu.pl</w:t>
        </w:r>
      </w:hyperlink>
      <w:r w:rsidRPr="00235DF6">
        <w:rPr>
          <w:rFonts w:ascii="Arial" w:eastAsia="Times New Roman" w:hAnsi="Arial" w:cs="Arial"/>
          <w:color w:val="000000"/>
          <w:sz w:val="24"/>
          <w:szCs w:val="24"/>
          <w:lang w:eastAsia="pl-PL"/>
        </w:rPr>
        <w:t>. Osoby zainteresowane uzyskaniem szczegółowych informacji dotyczących obliczeń statystycznych zaprezentowanych w raporcie zapraszamy do kontaktu z mgr Joanną Plewko, Biuro ds. Osób Niepełnosprawnych UW (joannaplewko@uw.edu.pl).</w:t>
      </w:r>
    </w:p>
    <w:p w14:paraId="48A4BB60" w14:textId="77777777" w:rsidR="00235DF6" w:rsidRPr="00235DF6" w:rsidRDefault="00235DF6" w:rsidP="00235DF6">
      <w:pPr>
        <w:spacing w:after="240" w:line="240" w:lineRule="auto"/>
        <w:rPr>
          <w:rFonts w:ascii="Arial" w:eastAsia="Times New Roman" w:hAnsi="Arial" w:cs="Arial"/>
          <w:sz w:val="24"/>
          <w:szCs w:val="24"/>
          <w:lang w:eastAsia="pl-PL"/>
        </w:rPr>
      </w:pPr>
    </w:p>
    <w:p w14:paraId="5FE2E66E" w14:textId="77777777" w:rsidR="00235DF6" w:rsidRDefault="00235DF6" w:rsidP="00235DF6">
      <w:pPr>
        <w:spacing w:after="0" w:line="240" w:lineRule="auto"/>
        <w:jc w:val="both"/>
        <w:rPr>
          <w:rFonts w:ascii="Arial" w:eastAsia="Times New Roman" w:hAnsi="Arial" w:cs="Arial"/>
          <w:b/>
          <w:bCs/>
          <w:color w:val="000000"/>
          <w:sz w:val="24"/>
          <w:szCs w:val="24"/>
          <w:lang w:eastAsia="pl-PL"/>
        </w:rPr>
      </w:pPr>
    </w:p>
    <w:p w14:paraId="72B529B0" w14:textId="6A01BE0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Literatura cytowana</w:t>
      </w:r>
    </w:p>
    <w:p w14:paraId="04ADF8E7" w14:textId="77777777" w:rsidR="00AF35FB" w:rsidRDefault="00AF35FB" w:rsidP="00AF35FB">
      <w:pPr>
        <w:spacing w:after="240" w:line="240" w:lineRule="auto"/>
        <w:ind w:left="709" w:hanging="709"/>
        <w:jc w:val="both"/>
        <w:rPr>
          <w:rFonts w:ascii="Arial" w:eastAsia="Times New Roman" w:hAnsi="Arial" w:cs="Arial"/>
          <w:color w:val="000000"/>
          <w:sz w:val="24"/>
          <w:szCs w:val="24"/>
          <w:lang w:eastAsia="pl-PL"/>
        </w:rPr>
      </w:pPr>
    </w:p>
    <w:p w14:paraId="2B0D40A5" w14:textId="53F1F76D" w:rsidR="00235DF6" w:rsidRPr="00235DF6" w:rsidRDefault="00235DF6" w:rsidP="00AF35FB">
      <w:pPr>
        <w:spacing w:after="240" w:line="240" w:lineRule="auto"/>
        <w:ind w:left="709" w:hanging="709"/>
        <w:jc w:val="both"/>
        <w:rPr>
          <w:rFonts w:ascii="Arial" w:eastAsia="Times New Roman" w:hAnsi="Arial" w:cs="Arial"/>
          <w:sz w:val="24"/>
          <w:szCs w:val="24"/>
          <w:lang w:val="en-US" w:eastAsia="pl-PL"/>
        </w:rPr>
      </w:pPr>
      <w:proofErr w:type="spellStart"/>
      <w:r w:rsidRPr="003816BB">
        <w:rPr>
          <w:rFonts w:ascii="Arial" w:eastAsia="Times New Roman" w:hAnsi="Arial" w:cs="Arial"/>
          <w:color w:val="000000"/>
          <w:sz w:val="24"/>
          <w:szCs w:val="24"/>
          <w:lang w:eastAsia="pl-PL"/>
        </w:rPr>
        <w:t>Alruwais</w:t>
      </w:r>
      <w:proofErr w:type="spellEnd"/>
      <w:r w:rsidRPr="003816BB">
        <w:rPr>
          <w:rFonts w:ascii="Arial" w:eastAsia="Times New Roman" w:hAnsi="Arial" w:cs="Arial"/>
          <w:color w:val="000000"/>
          <w:sz w:val="24"/>
          <w:szCs w:val="24"/>
          <w:lang w:eastAsia="pl-PL"/>
        </w:rPr>
        <w:t xml:space="preserve">, N., </w:t>
      </w:r>
      <w:proofErr w:type="spellStart"/>
      <w:r w:rsidRPr="003816BB">
        <w:rPr>
          <w:rFonts w:ascii="Arial" w:eastAsia="Times New Roman" w:hAnsi="Arial" w:cs="Arial"/>
          <w:color w:val="000000"/>
          <w:sz w:val="24"/>
          <w:szCs w:val="24"/>
          <w:lang w:eastAsia="pl-PL"/>
        </w:rPr>
        <w:t>Wills</w:t>
      </w:r>
      <w:proofErr w:type="spellEnd"/>
      <w:r w:rsidRPr="003816BB">
        <w:rPr>
          <w:rFonts w:ascii="Arial" w:eastAsia="Times New Roman" w:hAnsi="Arial" w:cs="Arial"/>
          <w:color w:val="000000"/>
          <w:sz w:val="24"/>
          <w:szCs w:val="24"/>
          <w:lang w:eastAsia="pl-PL"/>
        </w:rPr>
        <w:t xml:space="preserve">, G. i </w:t>
      </w:r>
      <w:proofErr w:type="spellStart"/>
      <w:r w:rsidRPr="003816BB">
        <w:rPr>
          <w:rFonts w:ascii="Arial" w:eastAsia="Times New Roman" w:hAnsi="Arial" w:cs="Arial"/>
          <w:color w:val="000000"/>
          <w:sz w:val="24"/>
          <w:szCs w:val="24"/>
          <w:lang w:eastAsia="pl-PL"/>
        </w:rPr>
        <w:t>Wald</w:t>
      </w:r>
      <w:proofErr w:type="spellEnd"/>
      <w:r w:rsidRPr="003816BB">
        <w:rPr>
          <w:rFonts w:ascii="Arial" w:eastAsia="Times New Roman" w:hAnsi="Arial" w:cs="Arial"/>
          <w:color w:val="000000"/>
          <w:sz w:val="24"/>
          <w:szCs w:val="24"/>
          <w:lang w:eastAsia="pl-PL"/>
        </w:rPr>
        <w:t xml:space="preserve">, M. (2018). </w:t>
      </w:r>
      <w:r w:rsidRPr="00235DF6">
        <w:rPr>
          <w:rFonts w:ascii="Arial" w:eastAsia="Times New Roman" w:hAnsi="Arial" w:cs="Arial"/>
          <w:color w:val="000000"/>
          <w:sz w:val="24"/>
          <w:szCs w:val="24"/>
          <w:lang w:val="en-US" w:eastAsia="pl-PL"/>
        </w:rPr>
        <w:t xml:space="preserve">Advantages and challenges of using e-assessment. </w:t>
      </w:r>
      <w:r w:rsidRPr="00235DF6">
        <w:rPr>
          <w:rFonts w:ascii="Arial" w:eastAsia="Times New Roman" w:hAnsi="Arial" w:cs="Arial"/>
          <w:i/>
          <w:iCs/>
          <w:color w:val="000000"/>
          <w:sz w:val="24"/>
          <w:szCs w:val="24"/>
          <w:lang w:val="en-US" w:eastAsia="pl-PL"/>
        </w:rPr>
        <w:t>International Journal of Information and Education Technology</w:t>
      </w:r>
      <w:r w:rsidRPr="00235DF6">
        <w:rPr>
          <w:rFonts w:ascii="Arial" w:eastAsia="Times New Roman" w:hAnsi="Arial" w:cs="Arial"/>
          <w:color w:val="000000"/>
          <w:sz w:val="24"/>
          <w:szCs w:val="24"/>
          <w:lang w:val="en-US" w:eastAsia="pl-PL"/>
        </w:rPr>
        <w:t xml:space="preserve">, </w:t>
      </w:r>
      <w:r w:rsidRPr="00235DF6">
        <w:rPr>
          <w:rFonts w:ascii="Arial" w:eastAsia="Times New Roman" w:hAnsi="Arial" w:cs="Arial"/>
          <w:i/>
          <w:iCs/>
          <w:color w:val="000000"/>
          <w:sz w:val="24"/>
          <w:szCs w:val="24"/>
          <w:lang w:val="en-US" w:eastAsia="pl-PL"/>
        </w:rPr>
        <w:t>8</w:t>
      </w:r>
      <w:r w:rsidRPr="00235DF6">
        <w:rPr>
          <w:rFonts w:ascii="Arial" w:eastAsia="Times New Roman" w:hAnsi="Arial" w:cs="Arial"/>
          <w:color w:val="000000"/>
          <w:sz w:val="24"/>
          <w:szCs w:val="24"/>
          <w:lang w:val="en-US" w:eastAsia="pl-PL"/>
        </w:rPr>
        <w:t>(1), 34-37.</w:t>
      </w:r>
    </w:p>
    <w:p w14:paraId="4F7A9A48" w14:textId="77777777" w:rsidR="00AF35FB" w:rsidRDefault="00235DF6" w:rsidP="00AF35FB">
      <w:pPr>
        <w:spacing w:before="240" w:after="240" w:line="240" w:lineRule="auto"/>
        <w:ind w:left="709" w:hanging="709"/>
        <w:jc w:val="both"/>
        <w:rPr>
          <w:rFonts w:ascii="Arial" w:eastAsia="Times New Roman" w:hAnsi="Arial" w:cs="Arial"/>
          <w:sz w:val="24"/>
          <w:szCs w:val="24"/>
          <w:lang w:eastAsia="pl-PL"/>
        </w:rPr>
      </w:pPr>
      <w:proofErr w:type="spellStart"/>
      <w:r w:rsidRPr="00235DF6">
        <w:rPr>
          <w:rFonts w:ascii="Arial" w:eastAsia="Times New Roman" w:hAnsi="Arial" w:cs="Arial"/>
          <w:color w:val="000000"/>
          <w:sz w:val="24"/>
          <w:szCs w:val="24"/>
          <w:shd w:val="clear" w:color="auto" w:fill="FFFFFF"/>
          <w:lang w:val="en-US" w:eastAsia="pl-PL"/>
        </w:rPr>
        <w:t>Bogdanowicz</w:t>
      </w:r>
      <w:proofErr w:type="spellEnd"/>
      <w:r w:rsidRPr="00235DF6">
        <w:rPr>
          <w:rFonts w:ascii="Arial" w:eastAsia="Times New Roman" w:hAnsi="Arial" w:cs="Arial"/>
          <w:color w:val="000000"/>
          <w:sz w:val="24"/>
          <w:szCs w:val="24"/>
          <w:shd w:val="clear" w:color="auto" w:fill="FFFFFF"/>
          <w:lang w:val="en-US" w:eastAsia="pl-PL"/>
        </w:rPr>
        <w:t xml:space="preserve">, M. (red.). </w:t>
      </w:r>
      <w:r w:rsidRPr="00235DF6">
        <w:rPr>
          <w:rFonts w:ascii="Arial" w:eastAsia="Times New Roman" w:hAnsi="Arial" w:cs="Arial"/>
          <w:color w:val="000000"/>
          <w:sz w:val="24"/>
          <w:szCs w:val="24"/>
          <w:shd w:val="clear" w:color="auto" w:fill="FFFFFF"/>
          <w:lang w:eastAsia="pl-PL"/>
        </w:rPr>
        <w:t xml:space="preserve">(2012). </w:t>
      </w:r>
      <w:r w:rsidRPr="00235DF6">
        <w:rPr>
          <w:rFonts w:ascii="Arial" w:eastAsia="Times New Roman" w:hAnsi="Arial" w:cs="Arial"/>
          <w:i/>
          <w:iCs/>
          <w:color w:val="000000"/>
          <w:sz w:val="24"/>
          <w:szCs w:val="24"/>
          <w:shd w:val="clear" w:color="auto" w:fill="FFFFFF"/>
          <w:lang w:eastAsia="pl-PL"/>
        </w:rPr>
        <w:t>Dysleksja w wieku dorosłym</w:t>
      </w:r>
      <w:r w:rsidRPr="00235DF6">
        <w:rPr>
          <w:rFonts w:ascii="Arial" w:eastAsia="Times New Roman" w:hAnsi="Arial" w:cs="Arial"/>
          <w:color w:val="000000"/>
          <w:sz w:val="24"/>
          <w:szCs w:val="24"/>
          <w:shd w:val="clear" w:color="auto" w:fill="FFFFFF"/>
          <w:lang w:eastAsia="pl-PL"/>
        </w:rPr>
        <w:t xml:space="preserve">. Harmonia </w:t>
      </w:r>
      <w:proofErr w:type="spellStart"/>
      <w:r w:rsidRPr="00235DF6">
        <w:rPr>
          <w:rFonts w:ascii="Arial" w:eastAsia="Times New Roman" w:hAnsi="Arial" w:cs="Arial"/>
          <w:color w:val="000000"/>
          <w:sz w:val="24"/>
          <w:szCs w:val="24"/>
          <w:shd w:val="clear" w:color="auto" w:fill="FFFFFF"/>
          <w:lang w:eastAsia="pl-PL"/>
        </w:rPr>
        <w:t>Universalis</w:t>
      </w:r>
      <w:proofErr w:type="spellEnd"/>
      <w:r w:rsidRPr="00235DF6">
        <w:rPr>
          <w:rFonts w:ascii="Arial" w:eastAsia="Times New Roman" w:hAnsi="Arial" w:cs="Arial"/>
          <w:color w:val="000000"/>
          <w:sz w:val="24"/>
          <w:szCs w:val="24"/>
          <w:shd w:val="clear" w:color="auto" w:fill="FFFFFF"/>
          <w:lang w:eastAsia="pl-PL"/>
        </w:rPr>
        <w:t>.</w:t>
      </w:r>
    </w:p>
    <w:p w14:paraId="60A97892" w14:textId="56E94EA3" w:rsidR="00235DF6" w:rsidRPr="00235DF6" w:rsidRDefault="00235DF6" w:rsidP="00AF35FB">
      <w:pPr>
        <w:spacing w:before="240" w:after="240" w:line="240" w:lineRule="auto"/>
        <w:ind w:left="709" w:hanging="709"/>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Ministerstwo Cyfryzacji (b/d). </w:t>
      </w:r>
      <w:r w:rsidRPr="00235DF6">
        <w:rPr>
          <w:rFonts w:ascii="Arial" w:eastAsia="Times New Roman" w:hAnsi="Arial" w:cs="Arial"/>
          <w:i/>
          <w:iCs/>
          <w:color w:val="000000"/>
          <w:sz w:val="24"/>
          <w:szCs w:val="24"/>
          <w:lang w:eastAsia="pl-PL"/>
        </w:rPr>
        <w:t xml:space="preserve">Kompetencje cyfrowe. </w:t>
      </w:r>
      <w:hyperlink r:id="rId27" w:history="1">
        <w:r w:rsidRPr="00235DF6">
          <w:rPr>
            <w:rFonts w:ascii="Arial" w:eastAsia="Times New Roman" w:hAnsi="Arial" w:cs="Arial"/>
            <w:color w:val="000000"/>
            <w:sz w:val="24"/>
            <w:szCs w:val="24"/>
            <w:lang w:eastAsia="pl-PL"/>
          </w:rPr>
          <w:t>https://www.gov.pl/web/cyfryzacja/kompetencje-cyfrowe</w:t>
        </w:r>
      </w:hyperlink>
      <w:r w:rsidRPr="00235DF6">
        <w:rPr>
          <w:rFonts w:ascii="Arial" w:eastAsia="Times New Roman" w:hAnsi="Arial" w:cs="Arial"/>
          <w:color w:val="000000"/>
          <w:sz w:val="24"/>
          <w:szCs w:val="24"/>
          <w:lang w:eastAsia="pl-PL"/>
        </w:rPr>
        <w:t xml:space="preserve"> (dostęp: 11.10.2020).</w:t>
      </w:r>
    </w:p>
    <w:p w14:paraId="4F5FB289" w14:textId="60835307" w:rsidR="00475249" w:rsidRPr="00235DF6" w:rsidRDefault="00235DF6" w:rsidP="00235DF6">
      <w:pPr>
        <w:rPr>
          <w:rFonts w:ascii="Arial" w:hAnsi="Arial" w:cs="Arial"/>
          <w:sz w:val="24"/>
          <w:szCs w:val="24"/>
        </w:rPr>
      </w:pPr>
      <w:r w:rsidRPr="00235DF6">
        <w:rPr>
          <w:rFonts w:ascii="Arial" w:eastAsia="Times New Roman" w:hAnsi="Arial" w:cs="Arial"/>
          <w:sz w:val="24"/>
          <w:szCs w:val="24"/>
          <w:lang w:eastAsia="pl-PL"/>
        </w:rPr>
        <w:br/>
      </w:r>
      <w:r w:rsidRPr="00235DF6">
        <w:rPr>
          <w:rFonts w:ascii="Arial" w:eastAsia="Times New Roman" w:hAnsi="Arial" w:cs="Arial"/>
          <w:sz w:val="24"/>
          <w:szCs w:val="24"/>
          <w:lang w:eastAsia="pl-PL"/>
        </w:rPr>
        <w:br/>
      </w:r>
    </w:p>
    <w:sectPr w:rsidR="00475249" w:rsidRPr="00235DF6">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AD1C" w14:textId="77777777" w:rsidR="00CE129B" w:rsidRDefault="00CE129B" w:rsidP="00235DF6">
      <w:pPr>
        <w:spacing w:after="0" w:line="240" w:lineRule="auto"/>
      </w:pPr>
      <w:r>
        <w:separator/>
      </w:r>
    </w:p>
  </w:endnote>
  <w:endnote w:type="continuationSeparator" w:id="0">
    <w:p w14:paraId="6C1091C0" w14:textId="77777777" w:rsidR="00CE129B" w:rsidRDefault="00CE129B" w:rsidP="002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762928"/>
      <w:docPartObj>
        <w:docPartGallery w:val="Page Numbers (Bottom of Page)"/>
        <w:docPartUnique/>
      </w:docPartObj>
    </w:sdtPr>
    <w:sdtEndPr>
      <w:rPr>
        <w:rFonts w:ascii="Arial" w:hAnsi="Arial" w:cs="Arial"/>
        <w:sz w:val="24"/>
        <w:szCs w:val="24"/>
      </w:rPr>
    </w:sdtEndPr>
    <w:sdtContent>
      <w:p w14:paraId="680BA5F8" w14:textId="52F90A7D" w:rsidR="00235DF6" w:rsidRPr="00235DF6" w:rsidRDefault="00235DF6">
        <w:pPr>
          <w:pStyle w:val="Stopka"/>
          <w:jc w:val="center"/>
          <w:rPr>
            <w:rFonts w:ascii="Arial" w:hAnsi="Arial" w:cs="Arial"/>
            <w:sz w:val="24"/>
            <w:szCs w:val="24"/>
          </w:rPr>
        </w:pPr>
        <w:r w:rsidRPr="00235DF6">
          <w:rPr>
            <w:rFonts w:ascii="Arial" w:hAnsi="Arial" w:cs="Arial"/>
            <w:sz w:val="24"/>
            <w:szCs w:val="24"/>
          </w:rPr>
          <w:fldChar w:fldCharType="begin"/>
        </w:r>
        <w:r w:rsidRPr="00235DF6">
          <w:rPr>
            <w:rFonts w:ascii="Arial" w:hAnsi="Arial" w:cs="Arial"/>
            <w:sz w:val="24"/>
            <w:szCs w:val="24"/>
          </w:rPr>
          <w:instrText>PAGE   \* MERGEFORMAT</w:instrText>
        </w:r>
        <w:r w:rsidRPr="00235DF6">
          <w:rPr>
            <w:rFonts w:ascii="Arial" w:hAnsi="Arial" w:cs="Arial"/>
            <w:sz w:val="24"/>
            <w:szCs w:val="24"/>
          </w:rPr>
          <w:fldChar w:fldCharType="separate"/>
        </w:r>
        <w:r w:rsidRPr="00235DF6">
          <w:rPr>
            <w:rFonts w:ascii="Arial" w:hAnsi="Arial" w:cs="Arial"/>
            <w:sz w:val="24"/>
            <w:szCs w:val="24"/>
          </w:rPr>
          <w:t>2</w:t>
        </w:r>
        <w:r w:rsidRPr="00235DF6">
          <w:rPr>
            <w:rFonts w:ascii="Arial" w:hAnsi="Arial" w:cs="Arial"/>
            <w:sz w:val="24"/>
            <w:szCs w:val="24"/>
          </w:rPr>
          <w:fldChar w:fldCharType="end"/>
        </w:r>
      </w:p>
    </w:sdtContent>
  </w:sdt>
  <w:p w14:paraId="14DDBA99" w14:textId="77777777" w:rsidR="00235DF6" w:rsidRDefault="00235D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C06A" w14:textId="77777777" w:rsidR="00CE129B" w:rsidRDefault="00CE129B" w:rsidP="00235DF6">
      <w:pPr>
        <w:spacing w:after="0" w:line="240" w:lineRule="auto"/>
      </w:pPr>
      <w:r>
        <w:separator/>
      </w:r>
    </w:p>
  </w:footnote>
  <w:footnote w:type="continuationSeparator" w:id="0">
    <w:p w14:paraId="246F5444" w14:textId="77777777" w:rsidR="00CE129B" w:rsidRDefault="00CE129B" w:rsidP="00235DF6">
      <w:pPr>
        <w:spacing w:after="0" w:line="240" w:lineRule="auto"/>
      </w:pPr>
      <w:r>
        <w:continuationSeparator/>
      </w:r>
    </w:p>
  </w:footnote>
  <w:footnote w:id="1">
    <w:p w14:paraId="1D1BC288" w14:textId="33257E8D"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Polonistyki Stosowanej, Uniwersytet Warszawski i Biuro ds. Osób Niepełnosprawnych, Uniwersytet Warszawski</w:t>
      </w:r>
    </w:p>
  </w:footnote>
  <w:footnote w:id="2">
    <w:p w14:paraId="5AA38E89" w14:textId="1B5F340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Biologii Doświadczalnej im. Marcelego Nenckiego, Polska Akademia Nauk</w:t>
      </w:r>
    </w:p>
  </w:footnote>
  <w:footnote w:id="3">
    <w:p w14:paraId="3655705D" w14:textId="013B2BC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Psychologii, Akademia Pedagogiki Specjalnej im. Marii Grzegorzewskiej w Warszawie</w:t>
      </w:r>
    </w:p>
  </w:footnote>
  <w:footnote w:id="4">
    <w:p w14:paraId="099BF10C" w14:textId="593BE664"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Badań Edukacyjnych</w:t>
      </w:r>
    </w:p>
  </w:footnote>
  <w:footnote w:id="5">
    <w:p w14:paraId="78877A44" w14:textId="47274B45" w:rsidR="00235DF6" w:rsidRDefault="00235DF6" w:rsidP="003816BB">
      <w:pPr>
        <w:pStyle w:val="Tekstprzypisudolnego"/>
        <w:jc w:val="both"/>
      </w:pPr>
      <w:r w:rsidRPr="00235DF6">
        <w:rPr>
          <w:rStyle w:val="Odwoanieprzypisudolnego"/>
          <w:rFonts w:ascii="Arial" w:hAnsi="Arial" w:cs="Arial"/>
        </w:rPr>
        <w:footnoteRef/>
      </w:r>
      <w:r w:rsidRPr="00235DF6">
        <w:rPr>
          <w:rFonts w:ascii="Arial" w:hAnsi="Arial" w:cs="Arial"/>
        </w:rPr>
        <w:t xml:space="preserve"> Wydział Psychologii, Uniwersytet Warszawski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50F"/>
    <w:multiLevelType w:val="multilevel"/>
    <w:tmpl w:val="1ED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C53"/>
    <w:multiLevelType w:val="multilevel"/>
    <w:tmpl w:val="814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34BA"/>
    <w:multiLevelType w:val="multilevel"/>
    <w:tmpl w:val="F93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77944"/>
    <w:multiLevelType w:val="multilevel"/>
    <w:tmpl w:val="DDA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957A4"/>
    <w:multiLevelType w:val="multilevel"/>
    <w:tmpl w:val="E5D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F0F35"/>
    <w:multiLevelType w:val="multilevel"/>
    <w:tmpl w:val="225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392"/>
    <w:multiLevelType w:val="multilevel"/>
    <w:tmpl w:val="6F3C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13CA"/>
    <w:multiLevelType w:val="multilevel"/>
    <w:tmpl w:val="D40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3070"/>
    <w:multiLevelType w:val="multilevel"/>
    <w:tmpl w:val="C728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F43C1"/>
    <w:multiLevelType w:val="multilevel"/>
    <w:tmpl w:val="2CF4D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61B3B"/>
    <w:multiLevelType w:val="multilevel"/>
    <w:tmpl w:val="957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7F20"/>
    <w:multiLevelType w:val="multilevel"/>
    <w:tmpl w:val="9DA4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541E3"/>
    <w:multiLevelType w:val="multilevel"/>
    <w:tmpl w:val="E01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3234A"/>
    <w:multiLevelType w:val="multilevel"/>
    <w:tmpl w:val="228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746D5"/>
    <w:multiLevelType w:val="multilevel"/>
    <w:tmpl w:val="1F56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8D6"/>
    <w:multiLevelType w:val="multilevel"/>
    <w:tmpl w:val="464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B7F81"/>
    <w:multiLevelType w:val="multilevel"/>
    <w:tmpl w:val="BC6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D38"/>
    <w:multiLevelType w:val="multilevel"/>
    <w:tmpl w:val="01A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52206"/>
    <w:multiLevelType w:val="multilevel"/>
    <w:tmpl w:val="D3F29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C476E"/>
    <w:multiLevelType w:val="multilevel"/>
    <w:tmpl w:val="EF3E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65444"/>
    <w:multiLevelType w:val="multilevel"/>
    <w:tmpl w:val="09C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11028"/>
    <w:multiLevelType w:val="multilevel"/>
    <w:tmpl w:val="FC4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829A8"/>
    <w:multiLevelType w:val="multilevel"/>
    <w:tmpl w:val="7388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E4E05"/>
    <w:multiLevelType w:val="multilevel"/>
    <w:tmpl w:val="C578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5202A"/>
    <w:multiLevelType w:val="multilevel"/>
    <w:tmpl w:val="61D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4"/>
  </w:num>
  <w:num w:numId="4">
    <w:abstractNumId w:val="9"/>
  </w:num>
  <w:num w:numId="5">
    <w:abstractNumId w:val="18"/>
  </w:num>
  <w:num w:numId="6">
    <w:abstractNumId w:val="0"/>
  </w:num>
  <w:num w:numId="7">
    <w:abstractNumId w:val="20"/>
  </w:num>
  <w:num w:numId="8">
    <w:abstractNumId w:val="15"/>
  </w:num>
  <w:num w:numId="9">
    <w:abstractNumId w:val="5"/>
  </w:num>
  <w:num w:numId="10">
    <w:abstractNumId w:val="17"/>
  </w:num>
  <w:num w:numId="11">
    <w:abstractNumId w:val="16"/>
  </w:num>
  <w:num w:numId="12">
    <w:abstractNumId w:val="22"/>
  </w:num>
  <w:num w:numId="13">
    <w:abstractNumId w:val="3"/>
  </w:num>
  <w:num w:numId="14">
    <w:abstractNumId w:val="2"/>
  </w:num>
  <w:num w:numId="15">
    <w:abstractNumId w:val="21"/>
  </w:num>
  <w:num w:numId="16">
    <w:abstractNumId w:val="6"/>
  </w:num>
  <w:num w:numId="17">
    <w:abstractNumId w:val="11"/>
  </w:num>
  <w:num w:numId="18">
    <w:abstractNumId w:val="13"/>
  </w:num>
  <w:num w:numId="19">
    <w:abstractNumId w:val="24"/>
  </w:num>
  <w:num w:numId="20">
    <w:abstractNumId w:val="4"/>
  </w:num>
  <w:num w:numId="21">
    <w:abstractNumId w:val="7"/>
  </w:num>
  <w:num w:numId="22">
    <w:abstractNumId w:val="8"/>
  </w:num>
  <w:num w:numId="23">
    <w:abstractNumId w:val="23"/>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F6"/>
    <w:rsid w:val="000D3457"/>
    <w:rsid w:val="00235DF6"/>
    <w:rsid w:val="003816BB"/>
    <w:rsid w:val="00475249"/>
    <w:rsid w:val="004A5A44"/>
    <w:rsid w:val="008852BF"/>
    <w:rsid w:val="00AC350E"/>
    <w:rsid w:val="00AF35FB"/>
    <w:rsid w:val="00CE1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E34"/>
  <w15:chartTrackingRefBased/>
  <w15:docId w15:val="{302C6676-6872-41B9-9B17-6856FAE2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D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35DF6"/>
    <w:rPr>
      <w:color w:val="0000FF"/>
      <w:u w:val="single"/>
    </w:rPr>
  </w:style>
  <w:style w:type="paragraph" w:styleId="Tekstprzypisudolnego">
    <w:name w:val="footnote text"/>
    <w:basedOn w:val="Normalny"/>
    <w:link w:val="TekstprzypisudolnegoZnak"/>
    <w:uiPriority w:val="99"/>
    <w:semiHidden/>
    <w:unhideWhenUsed/>
    <w:rsid w:val="00235D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5DF6"/>
    <w:rPr>
      <w:sz w:val="20"/>
      <w:szCs w:val="20"/>
    </w:rPr>
  </w:style>
  <w:style w:type="character" w:styleId="Odwoanieprzypisudolnego">
    <w:name w:val="footnote reference"/>
    <w:basedOn w:val="Domylnaczcionkaakapitu"/>
    <w:uiPriority w:val="99"/>
    <w:semiHidden/>
    <w:unhideWhenUsed/>
    <w:rsid w:val="00235DF6"/>
    <w:rPr>
      <w:vertAlign w:val="superscript"/>
    </w:rPr>
  </w:style>
  <w:style w:type="paragraph" w:styleId="Nagwek">
    <w:name w:val="header"/>
    <w:basedOn w:val="Normalny"/>
    <w:link w:val="NagwekZnak"/>
    <w:uiPriority w:val="99"/>
    <w:unhideWhenUsed/>
    <w:rsid w:val="00235D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DF6"/>
  </w:style>
  <w:style w:type="paragraph" w:styleId="Stopka">
    <w:name w:val="footer"/>
    <w:basedOn w:val="Normalny"/>
    <w:link w:val="StopkaZnak"/>
    <w:uiPriority w:val="99"/>
    <w:unhideWhenUsed/>
    <w:rsid w:val="00235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bon@uw.edu.p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on.uw.edu.pl/kategoria/uniwersytet-dla-wszystkich/"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gov.pl/web/cyfryzacja/kompetencje-cyfrow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0C56228-5104-4DA7-A0AC-83A6FB42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5307</Words>
  <Characters>31842</Characters>
  <Application>Microsoft Office Word</Application>
  <DocSecurity>0</DocSecurity>
  <Lines>265</Lines>
  <Paragraphs>74</Paragraphs>
  <ScaleCrop>false</ScaleCrop>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Nowakowska</dc:creator>
  <cp:keywords/>
  <dc:description/>
  <cp:lastModifiedBy>Krzysztof Busłowicz</cp:lastModifiedBy>
  <cp:revision>4</cp:revision>
  <dcterms:created xsi:type="dcterms:W3CDTF">2020-10-14T06:52:00Z</dcterms:created>
  <dcterms:modified xsi:type="dcterms:W3CDTF">2020-10-20T07:42:00Z</dcterms:modified>
</cp:coreProperties>
</file>